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68B35">
      <w:pPr>
        <w:rPr>
          <w:rFonts w:hint="eastAsia" w:ascii="宋体" w:hAnsi="宋体" w:eastAsia="宋体" w:cs="宋体"/>
        </w:rPr>
      </w:pPr>
    </w:p>
    <w:p w14:paraId="68B74CB7">
      <w:pPr>
        <w:spacing w:before="0" w:after="0"/>
        <w:jc w:val="center"/>
        <w:rPr>
          <w:rFonts w:hint="eastAsia" w:ascii="宋体" w:hAnsi="宋体" w:eastAsia="宋体" w:cs="宋体"/>
        </w:rPr>
      </w:pPr>
      <w:r>
        <w:rPr>
          <w:rFonts w:hint="eastAsia" w:ascii="宋体" w:hAnsi="宋体" w:eastAsia="宋体" w:cs="宋体"/>
          <w:b/>
          <w:color w:val="000000"/>
          <w:sz w:val="40"/>
        </w:rPr>
        <w:t>2025年8月Q世纪：量子物理百年科普展</w:t>
      </w:r>
    </w:p>
    <w:p w14:paraId="5B06E7DD">
      <w:pPr>
        <w:spacing w:before="0" w:after="0"/>
        <w:jc w:val="center"/>
        <w:rPr>
          <w:rFonts w:hint="eastAsia" w:ascii="宋体" w:hAnsi="宋体" w:eastAsia="宋体" w:cs="宋体"/>
        </w:rPr>
      </w:pPr>
      <w:r>
        <w:rPr>
          <w:rFonts w:ascii="宋体" w:hAnsi="宋体" w:eastAsia="宋体" w:cs="宋体"/>
          <w:b/>
          <w:color w:val="000000"/>
          <w:sz w:val="44"/>
        </w:rPr>
        <w:t> </w:t>
      </w:r>
    </w:p>
    <w:p w14:paraId="32F9EBE4">
      <w:pPr>
        <w:spacing w:before="0" w:after="0"/>
        <w:rPr>
          <w:rFonts w:hint="eastAsia" w:ascii="宋体" w:hAnsi="宋体" w:eastAsia="宋体" w:cs="宋体"/>
        </w:rPr>
      </w:pPr>
      <w:r>
        <w:rPr>
          <w:rFonts w:ascii="宋体" w:hAnsi="宋体" w:eastAsia="宋体" w:cs="宋体"/>
          <w:color w:val="000000"/>
          <w:sz w:val="40"/>
        </w:rPr>
        <w:t> </w:t>
      </w:r>
    </w:p>
    <w:p w14:paraId="38DB652B">
      <w:pPr>
        <w:spacing w:before="0" w:after="0"/>
        <w:jc w:val="center"/>
        <w:rPr>
          <w:rFonts w:hint="eastAsia" w:ascii="宋体" w:hAnsi="宋体" w:eastAsia="宋体" w:cs="宋体"/>
        </w:rPr>
      </w:pPr>
      <w:r>
        <w:rPr>
          <w:rFonts w:ascii="宋体" w:hAnsi="宋体" w:eastAsia="宋体" w:cs="宋体"/>
          <w:b/>
          <w:color w:val="000000"/>
          <w:sz w:val="48"/>
        </w:rPr>
        <w:t> </w:t>
      </w:r>
    </w:p>
    <w:p w14:paraId="53C4E635">
      <w:pPr>
        <w:spacing w:before="0" w:after="0"/>
        <w:jc w:val="center"/>
        <w:rPr>
          <w:rFonts w:hint="eastAsia" w:ascii="宋体" w:hAnsi="宋体" w:eastAsia="宋体" w:cs="宋体"/>
        </w:rPr>
      </w:pPr>
      <w:r>
        <w:rPr>
          <w:rFonts w:ascii="宋体" w:hAnsi="宋体" w:eastAsia="宋体" w:cs="宋体"/>
          <w:b/>
          <w:color w:val="000000"/>
          <w:sz w:val="56"/>
        </w:rPr>
        <w:t>招标文件</w:t>
      </w:r>
    </w:p>
    <w:p w14:paraId="43C052F3">
      <w:pPr>
        <w:spacing w:before="0" w:after="0"/>
        <w:jc w:val="center"/>
        <w:rPr>
          <w:rFonts w:hint="eastAsia" w:ascii="宋体" w:hAnsi="宋体" w:eastAsia="宋体" w:cs="宋体"/>
        </w:rPr>
      </w:pPr>
      <w:r>
        <w:rPr>
          <w:rFonts w:ascii="宋体" w:hAnsi="宋体" w:eastAsia="宋体" w:cs="宋体"/>
          <w:color w:val="000000"/>
          <w:sz w:val="48"/>
        </w:rPr>
        <w:t> </w:t>
      </w:r>
    </w:p>
    <w:p w14:paraId="443B09FF">
      <w:pPr>
        <w:spacing w:before="0" w:after="0"/>
        <w:jc w:val="center"/>
        <w:rPr>
          <w:rFonts w:hint="eastAsia" w:ascii="宋体" w:hAnsi="宋体" w:eastAsia="宋体" w:cs="宋体"/>
        </w:rPr>
      </w:pPr>
      <w:r>
        <w:rPr>
          <w:rFonts w:ascii="宋体" w:hAnsi="宋体" w:eastAsia="宋体" w:cs="宋体"/>
          <w:color w:val="000000"/>
          <w:sz w:val="48"/>
        </w:rPr>
        <w:t> </w:t>
      </w:r>
    </w:p>
    <w:p w14:paraId="27FB4DAF">
      <w:pPr>
        <w:spacing w:before="0" w:after="0"/>
        <w:jc w:val="center"/>
        <w:rPr>
          <w:rFonts w:hint="eastAsia" w:ascii="宋体" w:hAnsi="宋体" w:eastAsia="宋体" w:cs="宋体"/>
        </w:rPr>
      </w:pPr>
      <w:r>
        <w:rPr>
          <w:rFonts w:ascii="宋体" w:hAnsi="宋体" w:eastAsia="宋体" w:cs="宋体"/>
          <w:color w:val="000000"/>
          <w:sz w:val="48"/>
        </w:rPr>
        <w:t> </w:t>
      </w:r>
    </w:p>
    <w:p w14:paraId="6EE00871">
      <w:pPr>
        <w:spacing w:before="0" w:after="0"/>
        <w:jc w:val="center"/>
        <w:rPr>
          <w:rFonts w:hint="eastAsia" w:ascii="宋体" w:hAnsi="宋体" w:eastAsia="宋体" w:cs="宋体"/>
        </w:rPr>
      </w:pPr>
      <w:r>
        <w:rPr>
          <w:rFonts w:ascii="宋体" w:hAnsi="宋体" w:eastAsia="宋体" w:cs="宋体"/>
          <w:color w:val="000000"/>
          <w:sz w:val="48"/>
        </w:rPr>
        <w:t>招标编号:__________</w:t>
      </w:r>
    </w:p>
    <w:p w14:paraId="23B0B709">
      <w:pPr>
        <w:spacing w:before="0" w:after="0"/>
        <w:jc w:val="center"/>
        <w:rPr>
          <w:rFonts w:hint="eastAsia" w:ascii="宋体" w:hAnsi="宋体" w:eastAsia="宋体" w:cs="宋体"/>
        </w:rPr>
      </w:pPr>
      <w:r>
        <w:rPr>
          <w:rFonts w:ascii="宋体" w:hAnsi="宋体" w:eastAsia="宋体" w:cs="宋体"/>
          <w:color w:val="000000"/>
          <w:sz w:val="48"/>
        </w:rPr>
        <w:t> </w:t>
      </w:r>
    </w:p>
    <w:p w14:paraId="4D6AA1F8">
      <w:pPr>
        <w:spacing w:before="0" w:after="0"/>
        <w:jc w:val="center"/>
        <w:rPr>
          <w:rFonts w:hint="eastAsia" w:ascii="宋体" w:hAnsi="宋体" w:eastAsia="宋体" w:cs="宋体"/>
          <w:color w:val="000000"/>
          <w:sz w:val="40"/>
        </w:rPr>
      </w:pPr>
    </w:p>
    <w:p w14:paraId="0ED48ECC">
      <w:pPr>
        <w:spacing w:before="0" w:after="0"/>
        <w:jc w:val="center"/>
        <w:rPr>
          <w:rFonts w:hint="eastAsia" w:ascii="宋体" w:hAnsi="宋体" w:eastAsia="宋体" w:cs="宋体"/>
          <w:color w:val="000000"/>
          <w:sz w:val="40"/>
        </w:rPr>
      </w:pPr>
    </w:p>
    <w:p w14:paraId="0B76EA93">
      <w:pPr>
        <w:spacing w:before="0" w:after="0"/>
        <w:jc w:val="center"/>
        <w:rPr>
          <w:rFonts w:hint="eastAsia" w:ascii="宋体" w:hAnsi="宋体" w:eastAsia="宋体" w:cs="宋体"/>
        </w:rPr>
      </w:pPr>
      <w:r>
        <w:rPr>
          <w:rFonts w:ascii="宋体" w:hAnsi="宋体" w:eastAsia="宋体" w:cs="宋体"/>
          <w:color w:val="000000"/>
          <w:sz w:val="40"/>
        </w:rPr>
        <w:t> </w:t>
      </w:r>
    </w:p>
    <w:p w14:paraId="6C11C14C">
      <w:pPr>
        <w:spacing w:before="0" w:after="0"/>
        <w:jc w:val="center"/>
        <w:rPr>
          <w:rFonts w:hint="eastAsia" w:ascii="宋体" w:hAnsi="宋体" w:eastAsia="宋体" w:cs="宋体"/>
        </w:rPr>
      </w:pPr>
      <w:r>
        <w:rPr>
          <w:rFonts w:ascii="宋体" w:hAnsi="宋体" w:eastAsia="宋体" w:cs="宋体"/>
          <w:color w:val="000000"/>
          <w:sz w:val="28"/>
        </w:rPr>
        <w:t> </w:t>
      </w:r>
    </w:p>
    <w:p w14:paraId="00316DC9">
      <w:pPr>
        <w:spacing w:before="0" w:after="0"/>
        <w:jc w:val="left"/>
        <w:rPr>
          <w:rFonts w:hint="default" w:ascii="宋体" w:hAnsi="宋体" w:eastAsia="宋体" w:cs="宋体"/>
          <w:lang w:val="en-US"/>
        </w:rPr>
      </w:pPr>
      <w:r>
        <w:rPr>
          <w:rFonts w:ascii="宋体" w:hAnsi="宋体" w:eastAsia="宋体" w:cs="宋体"/>
          <w:color w:val="000000"/>
          <w:sz w:val="28"/>
        </w:rPr>
        <w:t>项目名称：2025年</w:t>
      </w:r>
      <w:r>
        <w:rPr>
          <w:rFonts w:hint="eastAsia" w:ascii="宋体" w:hAnsi="宋体" w:eastAsia="宋体" w:cs="宋体"/>
          <w:color w:val="000000"/>
          <w:sz w:val="28"/>
          <w:lang w:val="en-US" w:eastAsia="zh-CN"/>
        </w:rPr>
        <w:t>8</w:t>
      </w:r>
      <w:r>
        <w:rPr>
          <w:rFonts w:ascii="宋体" w:hAnsi="宋体" w:eastAsia="宋体" w:cs="宋体"/>
          <w:color w:val="000000"/>
          <w:sz w:val="28"/>
        </w:rPr>
        <w:t>月</w:t>
      </w:r>
      <w:r>
        <w:rPr>
          <w:rFonts w:hint="eastAsia" w:ascii="宋体" w:hAnsi="宋体" w:eastAsia="宋体" w:cs="宋体"/>
          <w:color w:val="000000"/>
          <w:sz w:val="28"/>
          <w:lang w:val="en-US" w:eastAsia="zh-CN"/>
        </w:rPr>
        <w:t>Q世纪：量子物理百年科普展</w:t>
      </w:r>
    </w:p>
    <w:p w14:paraId="034D5E29">
      <w:pPr>
        <w:spacing w:before="0" w:after="0"/>
        <w:rPr>
          <w:rFonts w:hint="eastAsia" w:ascii="宋体" w:hAnsi="宋体" w:eastAsia="宋体" w:cs="宋体"/>
        </w:rPr>
      </w:pPr>
      <w:r>
        <w:rPr>
          <w:rFonts w:ascii="宋体" w:hAnsi="宋体" w:eastAsia="宋体" w:cs="宋体"/>
          <w:color w:val="000000"/>
          <w:sz w:val="28"/>
        </w:rPr>
        <w:t> </w:t>
      </w:r>
    </w:p>
    <w:p w14:paraId="4A220FD4">
      <w:pPr>
        <w:spacing w:before="0" w:after="0"/>
        <w:rPr>
          <w:rFonts w:hint="eastAsia" w:ascii="宋体" w:hAnsi="宋体" w:eastAsia="宋体" w:cs="宋体"/>
        </w:rPr>
      </w:pPr>
      <w:r>
        <w:rPr>
          <w:rFonts w:ascii="宋体" w:hAnsi="宋体" w:eastAsia="宋体" w:cs="宋体"/>
          <w:color w:val="000000"/>
          <w:sz w:val="28"/>
        </w:rPr>
        <w:t>招标人：上海市浦东新区南七量子科技交流中心(盖章)</w:t>
      </w:r>
    </w:p>
    <w:p w14:paraId="17C6246E">
      <w:pPr>
        <w:spacing w:before="0" w:after="0"/>
        <w:jc w:val="left"/>
        <w:rPr>
          <w:rFonts w:hint="eastAsia" w:ascii="宋体" w:hAnsi="宋体" w:eastAsia="宋体" w:cs="宋体"/>
        </w:rPr>
      </w:pPr>
      <w:r>
        <w:rPr>
          <w:rFonts w:ascii="宋体" w:hAnsi="宋体" w:eastAsia="宋体" w:cs="宋体"/>
          <w:color w:val="000000"/>
          <w:sz w:val="28"/>
        </w:rPr>
        <w:t> </w:t>
      </w:r>
    </w:p>
    <w:p w14:paraId="27703D25">
      <w:pPr>
        <w:spacing w:before="0" w:after="0"/>
        <w:jc w:val="left"/>
        <w:rPr>
          <w:rFonts w:hint="eastAsia" w:ascii="宋体" w:hAnsi="宋体" w:eastAsia="宋体" w:cs="宋体"/>
        </w:rPr>
      </w:pPr>
      <w:r>
        <w:rPr>
          <w:rFonts w:ascii="宋体" w:hAnsi="宋体" w:eastAsia="宋体" w:cs="宋体"/>
          <w:color w:val="000000"/>
          <w:sz w:val="28"/>
        </w:rPr>
        <w:t>法定代表人或其委托代理人：</w:t>
      </w:r>
      <w:r>
        <w:rPr>
          <w:rFonts w:ascii="宋体" w:hAnsi="宋体" w:eastAsia="宋体" w:cs="宋体"/>
          <w:color w:val="000000"/>
          <w:sz w:val="28"/>
          <w:u w:val="single"/>
        </w:rPr>
        <w:t xml:space="preserve">                    </w:t>
      </w:r>
      <w:r>
        <w:rPr>
          <w:rFonts w:ascii="宋体" w:hAnsi="宋体" w:eastAsia="宋体" w:cs="宋体"/>
          <w:color w:val="000000"/>
          <w:sz w:val="28"/>
        </w:rPr>
        <w:t xml:space="preserve"> (签字或盖章)</w:t>
      </w:r>
    </w:p>
    <w:p w14:paraId="17E67C3A">
      <w:pPr>
        <w:spacing w:before="0" w:after="0"/>
        <w:jc w:val="left"/>
        <w:rPr>
          <w:rFonts w:hint="eastAsia" w:ascii="宋体" w:hAnsi="宋体" w:eastAsia="宋体" w:cs="宋体"/>
        </w:rPr>
      </w:pPr>
    </w:p>
    <w:p w14:paraId="251CC082">
      <w:pPr>
        <w:spacing w:before="0" w:after="0"/>
        <w:jc w:val="left"/>
        <w:rPr>
          <w:rFonts w:hint="eastAsia" w:ascii="宋体" w:hAnsi="宋体" w:eastAsia="宋体" w:cs="宋体"/>
        </w:rPr>
      </w:pPr>
      <w:r>
        <w:rPr>
          <w:rFonts w:ascii="宋体" w:hAnsi="宋体" w:eastAsia="宋体" w:cs="宋体"/>
          <w:color w:val="000000"/>
          <w:sz w:val="28"/>
        </w:rPr>
        <w:t>日期：2025年0</w:t>
      </w:r>
      <w:r>
        <w:rPr>
          <w:rFonts w:hint="eastAsia" w:ascii="宋体" w:hAnsi="宋体" w:eastAsia="宋体" w:cs="宋体"/>
          <w:color w:val="000000"/>
          <w:sz w:val="28"/>
          <w:lang w:val="en-US" w:eastAsia="zh-CN"/>
        </w:rPr>
        <w:t>6</w:t>
      </w:r>
      <w:r>
        <w:rPr>
          <w:rFonts w:ascii="宋体" w:hAnsi="宋体" w:eastAsia="宋体" w:cs="宋体"/>
          <w:color w:val="000000"/>
          <w:sz w:val="28"/>
        </w:rPr>
        <w:t>月</w:t>
      </w:r>
    </w:p>
    <w:p w14:paraId="5B11F06D">
      <w:pPr>
        <w:spacing w:before="0" w:after="0" w:line="360" w:lineRule="auto"/>
        <w:rPr>
          <w:rFonts w:hint="eastAsia" w:ascii="宋体" w:hAnsi="宋体" w:eastAsia="宋体" w:cs="宋体"/>
          <w:b/>
          <w:color w:val="000000"/>
          <w:sz w:val="44"/>
        </w:rPr>
      </w:pPr>
    </w:p>
    <w:p w14:paraId="5A415E16">
      <w:pPr>
        <w:spacing w:before="0" w:after="0" w:line="360" w:lineRule="auto"/>
        <w:jc w:val="center"/>
        <w:rPr>
          <w:rFonts w:hint="eastAsia" w:ascii="宋体" w:hAnsi="宋体" w:eastAsia="宋体" w:cs="宋体"/>
        </w:rPr>
      </w:pPr>
      <w:r>
        <w:rPr>
          <w:rFonts w:ascii="宋体" w:hAnsi="宋体" w:eastAsia="宋体" w:cs="宋体"/>
          <w:b/>
          <w:color w:val="000000"/>
          <w:sz w:val="44"/>
        </w:rPr>
        <w:t>目录</w:t>
      </w:r>
    </w:p>
    <w:p w14:paraId="18C35FB1">
      <w:pPr>
        <w:spacing w:before="0" w:after="0" w:line="360" w:lineRule="auto"/>
        <w:ind w:firstLine="560" w:firstLineChars="200"/>
        <w:rPr>
          <w:rFonts w:hint="eastAsia" w:ascii="宋体" w:hAnsi="宋体" w:eastAsia="宋体" w:cs="宋体"/>
        </w:rPr>
      </w:pPr>
      <w:r>
        <w:rPr>
          <w:rFonts w:ascii="宋体" w:hAnsi="宋体" w:eastAsia="宋体" w:cs="宋体"/>
          <w:color w:val="000000"/>
          <w:sz w:val="28"/>
        </w:rPr>
        <w:t> </w:t>
      </w:r>
    </w:p>
    <w:p w14:paraId="1A3AB9C8">
      <w:pPr>
        <w:spacing w:before="0" w:after="0" w:line="360" w:lineRule="auto"/>
        <w:ind w:firstLine="560" w:firstLineChars="200"/>
        <w:rPr>
          <w:rFonts w:hint="eastAsia" w:ascii="宋体" w:hAnsi="宋体" w:eastAsia="宋体" w:cs="宋体"/>
        </w:rPr>
      </w:pPr>
      <w:r>
        <w:rPr>
          <w:rFonts w:ascii="宋体" w:hAnsi="宋体" w:eastAsia="宋体" w:cs="宋体"/>
          <w:color w:val="000000"/>
          <w:sz w:val="28"/>
        </w:rPr>
        <w:t> </w:t>
      </w:r>
    </w:p>
    <w:p w14:paraId="59F5F523">
      <w:pPr>
        <w:spacing w:before="0" w:after="0" w:line="360" w:lineRule="auto"/>
        <w:ind w:firstLine="560" w:firstLineChars="200"/>
        <w:jc w:val="left"/>
        <w:rPr>
          <w:rFonts w:hint="eastAsia" w:ascii="宋体" w:hAnsi="宋体" w:eastAsia="宋体" w:cs="宋体"/>
        </w:rPr>
      </w:pPr>
      <w:r>
        <w:rPr>
          <w:rFonts w:ascii="宋体" w:hAnsi="宋体" w:eastAsia="宋体" w:cs="宋体"/>
          <w:color w:val="000000"/>
          <w:sz w:val="28"/>
        </w:rPr>
        <w:t>一、项目概况</w:t>
      </w:r>
    </w:p>
    <w:p w14:paraId="4BCA247E">
      <w:pPr>
        <w:spacing w:before="0" w:after="0" w:line="360" w:lineRule="auto"/>
        <w:ind w:firstLine="560" w:firstLineChars="200"/>
        <w:jc w:val="left"/>
        <w:rPr>
          <w:rFonts w:hint="eastAsia" w:ascii="宋体" w:hAnsi="宋体" w:eastAsia="宋体" w:cs="宋体"/>
        </w:rPr>
      </w:pPr>
      <w:r>
        <w:rPr>
          <w:rFonts w:ascii="宋体" w:hAnsi="宋体" w:eastAsia="宋体" w:cs="宋体"/>
          <w:color w:val="000000"/>
          <w:sz w:val="28"/>
        </w:rPr>
        <w:t>二、招标范围及要求</w:t>
      </w:r>
    </w:p>
    <w:p w14:paraId="24E6DB61">
      <w:pPr>
        <w:spacing w:before="0" w:after="0" w:line="360" w:lineRule="auto"/>
        <w:ind w:firstLine="560" w:firstLineChars="200"/>
        <w:jc w:val="left"/>
        <w:rPr>
          <w:rFonts w:hint="eastAsia" w:ascii="宋体" w:hAnsi="宋体" w:eastAsia="宋体" w:cs="宋体"/>
        </w:rPr>
      </w:pPr>
      <w:r>
        <w:rPr>
          <w:rFonts w:ascii="宋体" w:hAnsi="宋体" w:eastAsia="宋体" w:cs="宋体"/>
          <w:color w:val="000000"/>
          <w:sz w:val="28"/>
        </w:rPr>
        <w:t>三、费用预算及付款方式</w:t>
      </w:r>
    </w:p>
    <w:p w14:paraId="477AD767">
      <w:pPr>
        <w:spacing w:before="0" w:after="0" w:line="360" w:lineRule="auto"/>
        <w:ind w:firstLine="560" w:firstLineChars="200"/>
        <w:jc w:val="left"/>
        <w:rPr>
          <w:rFonts w:hint="eastAsia" w:ascii="宋体" w:hAnsi="宋体" w:eastAsia="宋体" w:cs="宋体"/>
        </w:rPr>
      </w:pPr>
      <w:r>
        <w:rPr>
          <w:rFonts w:ascii="宋体" w:hAnsi="宋体" w:eastAsia="宋体" w:cs="宋体"/>
          <w:color w:val="000000"/>
          <w:sz w:val="28"/>
        </w:rPr>
        <w:t>四、供应商资质要求</w:t>
      </w:r>
    </w:p>
    <w:p w14:paraId="4EA668FA">
      <w:pPr>
        <w:spacing w:before="0" w:after="0" w:line="360" w:lineRule="auto"/>
        <w:ind w:firstLine="560" w:firstLineChars="200"/>
        <w:jc w:val="left"/>
        <w:rPr>
          <w:rFonts w:hint="eastAsia" w:ascii="宋体" w:hAnsi="宋体" w:eastAsia="宋体" w:cs="宋体"/>
        </w:rPr>
      </w:pPr>
      <w:r>
        <w:rPr>
          <w:rFonts w:ascii="宋体" w:hAnsi="宋体" w:eastAsia="宋体" w:cs="宋体"/>
          <w:color w:val="000000"/>
          <w:sz w:val="28"/>
        </w:rPr>
        <w:t>五、招标文件要求</w:t>
      </w:r>
    </w:p>
    <w:p w14:paraId="61162180">
      <w:pPr>
        <w:spacing w:before="0" w:after="0" w:line="360" w:lineRule="auto"/>
        <w:ind w:firstLine="560" w:firstLineChars="200"/>
        <w:jc w:val="left"/>
        <w:rPr>
          <w:rFonts w:hint="eastAsia" w:ascii="宋体" w:hAnsi="宋体" w:eastAsia="宋体" w:cs="宋体"/>
        </w:rPr>
      </w:pPr>
      <w:r>
        <w:rPr>
          <w:rFonts w:ascii="宋体" w:hAnsi="宋体" w:eastAsia="宋体" w:cs="宋体"/>
          <w:color w:val="000000"/>
          <w:sz w:val="28"/>
        </w:rPr>
        <w:t>六、招标安排及通知</w:t>
      </w:r>
    </w:p>
    <w:p w14:paraId="29100DCF">
      <w:pPr>
        <w:rPr>
          <w:rFonts w:hint="eastAsia" w:ascii="宋体" w:hAnsi="宋体" w:eastAsia="宋体" w:cs="宋体"/>
        </w:rPr>
      </w:pPr>
    </w:p>
    <w:p w14:paraId="67EE7DA9">
      <w:pPr>
        <w:rPr>
          <w:rFonts w:hint="eastAsia" w:ascii="宋体" w:hAnsi="宋体" w:eastAsia="宋体" w:cs="宋体"/>
        </w:rPr>
      </w:pPr>
    </w:p>
    <w:p w14:paraId="4357B6D4">
      <w:pPr>
        <w:rPr>
          <w:rFonts w:hint="eastAsia" w:ascii="宋体" w:hAnsi="宋体" w:eastAsia="宋体" w:cs="宋体"/>
        </w:rPr>
      </w:pPr>
    </w:p>
    <w:p w14:paraId="170DB537">
      <w:pPr>
        <w:rPr>
          <w:rFonts w:hint="eastAsia" w:ascii="宋体" w:hAnsi="宋体" w:eastAsia="宋体" w:cs="宋体"/>
        </w:rPr>
      </w:pPr>
    </w:p>
    <w:p w14:paraId="03EDBC6D">
      <w:pPr>
        <w:rPr>
          <w:rFonts w:hint="eastAsia" w:ascii="宋体" w:hAnsi="宋体" w:eastAsia="宋体" w:cs="宋体"/>
        </w:rPr>
      </w:pPr>
    </w:p>
    <w:p w14:paraId="526252F9">
      <w:pPr>
        <w:rPr>
          <w:rFonts w:hint="eastAsia" w:ascii="宋体" w:hAnsi="宋体" w:eastAsia="宋体" w:cs="宋体"/>
        </w:rPr>
      </w:pPr>
    </w:p>
    <w:p w14:paraId="21160F33">
      <w:pPr>
        <w:rPr>
          <w:rFonts w:hint="eastAsia" w:ascii="宋体" w:hAnsi="宋体" w:eastAsia="宋体" w:cs="宋体"/>
        </w:rPr>
      </w:pPr>
    </w:p>
    <w:p w14:paraId="6651CADA">
      <w:pPr>
        <w:rPr>
          <w:rFonts w:hint="eastAsia" w:ascii="宋体" w:hAnsi="宋体" w:eastAsia="宋体" w:cs="宋体"/>
        </w:rPr>
      </w:pPr>
    </w:p>
    <w:p w14:paraId="6ADFF74B">
      <w:pPr>
        <w:rPr>
          <w:rFonts w:hint="eastAsia" w:ascii="宋体" w:hAnsi="宋体" w:eastAsia="宋体" w:cs="宋体"/>
        </w:rPr>
      </w:pPr>
    </w:p>
    <w:p w14:paraId="2D1ED9E1">
      <w:pPr>
        <w:rPr>
          <w:rFonts w:hint="eastAsia" w:ascii="宋体" w:hAnsi="宋体" w:eastAsia="宋体" w:cs="宋体"/>
        </w:rPr>
      </w:pPr>
    </w:p>
    <w:p w14:paraId="13995A4B">
      <w:pPr>
        <w:rPr>
          <w:rFonts w:hint="eastAsia" w:ascii="宋体" w:hAnsi="宋体" w:eastAsia="宋体" w:cs="宋体"/>
        </w:rPr>
      </w:pPr>
    </w:p>
    <w:p w14:paraId="7D29A2A5">
      <w:pPr>
        <w:rPr>
          <w:rFonts w:hint="eastAsia" w:ascii="宋体" w:hAnsi="宋体" w:eastAsia="宋体" w:cs="宋体"/>
        </w:rPr>
      </w:pPr>
    </w:p>
    <w:p w14:paraId="41518502">
      <w:pPr>
        <w:rPr>
          <w:rFonts w:hint="eastAsia" w:ascii="宋体" w:hAnsi="宋体" w:eastAsia="宋体" w:cs="宋体"/>
        </w:rPr>
      </w:pPr>
    </w:p>
    <w:p w14:paraId="6F687B4F">
      <w:pPr>
        <w:rPr>
          <w:rFonts w:hint="eastAsia" w:ascii="宋体" w:hAnsi="宋体" w:eastAsia="宋体" w:cs="宋体"/>
        </w:rPr>
      </w:pPr>
    </w:p>
    <w:p w14:paraId="164F80E2">
      <w:pPr>
        <w:rPr>
          <w:rFonts w:hint="eastAsia" w:ascii="宋体" w:hAnsi="宋体" w:eastAsia="宋体" w:cs="宋体"/>
        </w:rPr>
      </w:pPr>
    </w:p>
    <w:p w14:paraId="03102942">
      <w:pPr>
        <w:rPr>
          <w:rFonts w:hint="eastAsia" w:ascii="宋体" w:hAnsi="宋体" w:eastAsia="宋体" w:cs="宋体"/>
        </w:rPr>
      </w:pPr>
    </w:p>
    <w:p w14:paraId="1E0B8393">
      <w:pPr>
        <w:rPr>
          <w:rFonts w:hint="eastAsia" w:ascii="宋体" w:hAnsi="宋体" w:eastAsia="宋体" w:cs="宋体"/>
        </w:rPr>
      </w:pPr>
    </w:p>
    <w:p w14:paraId="3AC35388">
      <w:pPr>
        <w:pStyle w:val="3"/>
        <w:rPr>
          <w:rFonts w:hint="eastAsia" w:ascii="宋体" w:hAnsi="宋体" w:eastAsia="宋体" w:cs="宋体"/>
          <w:sz w:val="30"/>
        </w:rPr>
      </w:pPr>
      <w:r>
        <w:rPr>
          <w:rFonts w:ascii="宋体" w:hAnsi="宋体" w:eastAsia="宋体" w:cs="宋体"/>
          <w:sz w:val="30"/>
        </w:rPr>
        <w:t>一、项目概况</w:t>
      </w:r>
    </w:p>
    <w:p w14:paraId="72684A91">
      <w:pPr>
        <w:spacing w:before="0" w:after="120"/>
        <w:jc w:val="left"/>
        <w:rPr>
          <w:rFonts w:hint="eastAsia" w:ascii="宋体" w:hAnsi="宋体" w:eastAsia="宋体" w:cs="宋体"/>
          <w:sz w:val="28"/>
        </w:rPr>
      </w:pPr>
      <w:r>
        <w:rPr>
          <w:rFonts w:ascii="宋体" w:hAnsi="宋体" w:eastAsia="宋体" w:cs="宋体"/>
          <w:b/>
          <w:color w:val="auto"/>
          <w:sz w:val="28"/>
        </w:rPr>
        <w:t>1.项目名称</w:t>
      </w:r>
      <w:r>
        <w:rPr>
          <w:rFonts w:ascii="宋体" w:hAnsi="宋体" w:eastAsia="宋体" w:cs="宋体"/>
          <w:color w:val="auto"/>
          <w:sz w:val="28"/>
        </w:rPr>
        <w:t>：</w:t>
      </w:r>
      <w:r>
        <w:rPr>
          <w:rFonts w:hint="eastAsia" w:ascii="宋体" w:hAnsi="宋体" w:eastAsia="宋体" w:cs="宋体"/>
          <w:color w:val="auto"/>
          <w:sz w:val="28"/>
        </w:rPr>
        <w:t>2025年8月Q世纪：量子物理百年科普展</w:t>
      </w:r>
    </w:p>
    <w:p w14:paraId="2601856D">
      <w:pPr>
        <w:spacing w:before="120" w:after="120"/>
        <w:jc w:val="left"/>
        <w:rPr>
          <w:rFonts w:hint="eastAsia" w:ascii="宋体" w:hAnsi="宋体" w:eastAsia="宋体" w:cs="宋体"/>
          <w:sz w:val="28"/>
        </w:rPr>
      </w:pPr>
      <w:r>
        <w:rPr>
          <w:rFonts w:ascii="宋体" w:hAnsi="宋体" w:eastAsia="宋体" w:cs="宋体"/>
          <w:b/>
          <w:color w:val="auto"/>
          <w:sz w:val="28"/>
        </w:rPr>
        <w:t>2.项目主题</w:t>
      </w:r>
      <w:r>
        <w:rPr>
          <w:rFonts w:ascii="宋体" w:hAnsi="宋体" w:eastAsia="宋体" w:cs="宋体"/>
          <w:color w:val="auto"/>
          <w:sz w:val="28"/>
        </w:rPr>
        <w:t>：“</w:t>
      </w:r>
      <w:r>
        <w:rPr>
          <w:rFonts w:hint="eastAsia" w:ascii="宋体" w:hAnsi="宋体" w:eastAsia="宋体" w:cs="宋体"/>
          <w:color w:val="auto"/>
          <w:sz w:val="28"/>
          <w:lang w:val="en-US" w:eastAsia="zh-CN"/>
        </w:rPr>
        <w:t>Q世纪：量子物理百年科普展</w:t>
      </w:r>
      <w:r>
        <w:rPr>
          <w:rFonts w:ascii="宋体" w:hAnsi="宋体" w:eastAsia="宋体" w:cs="宋体"/>
          <w:color w:val="auto"/>
          <w:sz w:val="28"/>
        </w:rPr>
        <w:t>”</w:t>
      </w:r>
    </w:p>
    <w:p w14:paraId="23687E0B">
      <w:pPr>
        <w:keepNext w:val="0"/>
        <w:keepLines w:val="0"/>
        <w:pageBreakBefore w:val="0"/>
        <w:widowControl w:val="0"/>
        <w:kinsoku/>
        <w:wordWrap/>
        <w:overflowPunct/>
        <w:topLinePunct w:val="0"/>
        <w:autoSpaceDE/>
        <w:autoSpaceDN/>
        <w:bidi w:val="0"/>
        <w:adjustRightInd/>
        <w:snapToGrid/>
        <w:spacing w:before="120" w:after="120"/>
        <w:jc w:val="left"/>
        <w:textAlignment w:val="auto"/>
        <w:rPr>
          <w:rFonts w:hint="default" w:ascii="宋体" w:hAnsi="宋体" w:eastAsia="宋体" w:cs="宋体"/>
          <w:sz w:val="28"/>
          <w:lang w:val="en-US" w:eastAsia="zh-CN"/>
        </w:rPr>
      </w:pPr>
      <w:r>
        <w:rPr>
          <w:rFonts w:ascii="宋体" w:hAnsi="宋体" w:eastAsia="宋体" w:cs="宋体"/>
          <w:b/>
          <w:color w:val="auto"/>
          <w:sz w:val="28"/>
        </w:rPr>
        <w:t>3.</w:t>
      </w:r>
      <w:r>
        <w:rPr>
          <w:rFonts w:hint="eastAsia" w:ascii="宋体" w:hAnsi="宋体" w:eastAsia="宋体" w:cs="宋体"/>
          <w:b/>
          <w:color w:val="auto"/>
          <w:sz w:val="28"/>
          <w:lang w:val="en-US" w:eastAsia="zh-CN"/>
        </w:rPr>
        <w:t>项目搭建</w:t>
      </w:r>
      <w:r>
        <w:rPr>
          <w:rFonts w:ascii="宋体" w:hAnsi="宋体" w:eastAsia="宋体" w:cs="宋体"/>
          <w:color w:val="auto"/>
          <w:sz w:val="28"/>
        </w:rPr>
        <w:t xml:space="preserve">：2025 年 </w:t>
      </w:r>
      <w:r>
        <w:rPr>
          <w:rFonts w:hint="eastAsia" w:ascii="宋体" w:hAnsi="宋体" w:eastAsia="宋体" w:cs="宋体"/>
          <w:color w:val="auto"/>
          <w:sz w:val="28"/>
          <w:lang w:val="en-US" w:eastAsia="zh-CN"/>
        </w:rPr>
        <w:t>7</w:t>
      </w:r>
      <w:r>
        <w:rPr>
          <w:rFonts w:ascii="宋体" w:hAnsi="宋体" w:eastAsia="宋体" w:cs="宋体"/>
          <w:color w:val="auto"/>
          <w:sz w:val="28"/>
        </w:rPr>
        <w:t xml:space="preserve">月 </w:t>
      </w:r>
      <w:r>
        <w:rPr>
          <w:rFonts w:hint="eastAsia" w:ascii="宋体" w:hAnsi="宋体" w:eastAsia="宋体" w:cs="宋体"/>
          <w:color w:val="auto"/>
          <w:sz w:val="28"/>
          <w:lang w:val="en-US" w:eastAsia="zh-CN"/>
        </w:rPr>
        <w:t>30</w:t>
      </w:r>
      <w:r>
        <w:rPr>
          <w:rFonts w:ascii="宋体" w:hAnsi="宋体" w:eastAsia="宋体" w:cs="宋体"/>
          <w:color w:val="auto"/>
          <w:sz w:val="28"/>
        </w:rPr>
        <w:t>日</w:t>
      </w:r>
      <w:r>
        <w:rPr>
          <w:rFonts w:hint="eastAsia" w:ascii="宋体" w:hAnsi="宋体" w:eastAsia="宋体" w:cs="宋体"/>
          <w:color w:val="auto"/>
          <w:sz w:val="28"/>
          <w:lang w:val="en-US" w:eastAsia="zh-CN"/>
        </w:rPr>
        <w:t>至8月29日</w:t>
      </w:r>
      <w:r>
        <w:rPr>
          <w:rFonts w:ascii="宋体" w:hAnsi="宋体" w:eastAsia="宋体" w:cs="宋体"/>
          <w:color w:val="auto"/>
          <w:sz w:val="28"/>
        </w:rPr>
        <w:t>（暂定）</w:t>
      </w:r>
    </w:p>
    <w:p w14:paraId="3DB41F6B">
      <w:pPr>
        <w:keepNext w:val="0"/>
        <w:keepLines w:val="0"/>
        <w:pageBreakBefore w:val="0"/>
        <w:widowControl w:val="0"/>
        <w:kinsoku/>
        <w:wordWrap/>
        <w:overflowPunct/>
        <w:topLinePunct w:val="0"/>
        <w:autoSpaceDE/>
        <w:autoSpaceDN/>
        <w:bidi w:val="0"/>
        <w:adjustRightInd/>
        <w:snapToGrid/>
        <w:spacing w:before="120" w:after="120"/>
        <w:jc w:val="left"/>
        <w:textAlignment w:val="auto"/>
        <w:rPr>
          <w:rFonts w:hint="eastAsia" w:ascii="宋体" w:hAnsi="宋体" w:eastAsia="宋体" w:cs="宋体"/>
          <w:b/>
          <w:color w:val="auto"/>
          <w:sz w:val="28"/>
          <w:lang w:val="en-US" w:eastAsia="zh-CN"/>
        </w:rPr>
      </w:pPr>
      <w:r>
        <w:rPr>
          <w:rFonts w:hint="eastAsia" w:ascii="宋体" w:hAnsi="宋体" w:eastAsia="宋体" w:cs="宋体"/>
          <w:b/>
          <w:bCs/>
          <w:color w:val="auto"/>
          <w:sz w:val="28"/>
          <w:lang w:val="en-US" w:eastAsia="zh-CN"/>
        </w:rPr>
        <w:t>4.撤展时间：</w:t>
      </w:r>
      <w:r>
        <w:rPr>
          <w:rFonts w:hint="eastAsia" w:ascii="宋体" w:hAnsi="宋体" w:eastAsia="宋体" w:cs="宋体"/>
          <w:color w:val="auto"/>
          <w:sz w:val="28"/>
          <w:lang w:val="en-US" w:eastAsia="zh-CN"/>
        </w:rPr>
        <w:t>2025年8月29日</w:t>
      </w:r>
    </w:p>
    <w:p w14:paraId="7AB81E7F">
      <w:pPr>
        <w:spacing w:before="120" w:after="120"/>
        <w:jc w:val="left"/>
        <w:rPr>
          <w:rFonts w:hint="default" w:ascii="宋体" w:hAnsi="宋体" w:eastAsia="宋体" w:cs="宋体"/>
          <w:color w:val="auto"/>
          <w:sz w:val="28"/>
          <w:lang w:val="en-US" w:eastAsia="zh-CN"/>
        </w:rPr>
      </w:pPr>
      <w:r>
        <w:rPr>
          <w:rFonts w:hint="eastAsia" w:ascii="宋体" w:hAnsi="宋体" w:eastAsia="宋体" w:cs="宋体"/>
          <w:b/>
          <w:color w:val="auto"/>
          <w:sz w:val="28"/>
          <w:lang w:val="en-US" w:eastAsia="zh-CN"/>
        </w:rPr>
        <w:t>5</w:t>
      </w:r>
      <w:r>
        <w:rPr>
          <w:rFonts w:ascii="宋体" w:hAnsi="宋体" w:eastAsia="宋体" w:cs="宋体"/>
          <w:b/>
          <w:color w:val="auto"/>
          <w:sz w:val="28"/>
        </w:rPr>
        <w:t>.</w:t>
      </w:r>
      <w:r>
        <w:rPr>
          <w:rFonts w:hint="eastAsia" w:ascii="宋体" w:hAnsi="宋体" w:eastAsia="宋体" w:cs="宋体"/>
          <w:b/>
          <w:color w:val="auto"/>
          <w:sz w:val="28"/>
          <w:lang w:val="en-US" w:eastAsia="zh-CN"/>
        </w:rPr>
        <w:t>项目</w:t>
      </w:r>
      <w:r>
        <w:rPr>
          <w:rFonts w:ascii="宋体" w:hAnsi="宋体" w:eastAsia="宋体" w:cs="宋体"/>
          <w:b/>
          <w:color w:val="auto"/>
          <w:sz w:val="28"/>
        </w:rPr>
        <w:t>地点</w:t>
      </w:r>
      <w:r>
        <w:rPr>
          <w:rFonts w:ascii="宋体" w:hAnsi="宋体" w:eastAsia="宋体" w:cs="宋体"/>
          <w:color w:val="auto"/>
          <w:sz w:val="28"/>
        </w:rPr>
        <w:t>：</w:t>
      </w:r>
      <w:r>
        <w:rPr>
          <w:rFonts w:hint="eastAsia" w:ascii="宋体" w:hAnsi="宋体" w:eastAsia="宋体" w:cs="宋体"/>
          <w:color w:val="auto"/>
          <w:sz w:val="28"/>
          <w:lang w:val="en-US" w:eastAsia="zh-CN"/>
        </w:rPr>
        <w:t>上海图书馆东馆5F展区</w:t>
      </w:r>
    </w:p>
    <w:p w14:paraId="0476D850">
      <w:pPr>
        <w:numPr>
          <w:numId w:val="0"/>
        </w:numPr>
        <w:spacing w:before="120" w:after="120"/>
        <w:ind w:leftChars="0"/>
        <w:jc w:val="left"/>
        <w:rPr>
          <w:rFonts w:hint="eastAsia" w:ascii="宋体" w:hAnsi="宋体" w:eastAsia="宋体" w:cs="宋体"/>
          <w:color w:val="auto"/>
          <w:sz w:val="28"/>
        </w:rPr>
      </w:pPr>
      <w:r>
        <w:rPr>
          <w:rFonts w:hint="eastAsia" w:ascii="宋体" w:hAnsi="宋体" w:eastAsia="宋体" w:cs="宋体"/>
          <w:b/>
          <w:color w:val="auto"/>
          <w:sz w:val="28"/>
          <w:lang w:val="en-US" w:eastAsia="zh-CN"/>
        </w:rPr>
        <w:t>6.展览</w:t>
      </w:r>
      <w:r>
        <w:rPr>
          <w:rFonts w:ascii="宋体" w:hAnsi="宋体" w:eastAsia="宋体" w:cs="宋体"/>
          <w:b/>
          <w:color w:val="auto"/>
          <w:sz w:val="28"/>
        </w:rPr>
        <w:t>方案：</w:t>
      </w:r>
      <w:r>
        <w:rPr>
          <w:rFonts w:ascii="宋体" w:hAnsi="宋体" w:eastAsia="宋体" w:cs="宋体"/>
          <w:color w:val="auto"/>
          <w:sz w:val="28"/>
        </w:rPr>
        <w:t>见附件一</w:t>
      </w:r>
    </w:p>
    <w:p w14:paraId="5E55375F">
      <w:pPr>
        <w:spacing w:before="120" w:after="120"/>
        <w:jc w:val="left"/>
        <w:rPr>
          <w:rFonts w:hint="eastAsia" w:ascii="宋体" w:hAnsi="宋体" w:eastAsia="宋体" w:cs="宋体"/>
          <w:color w:val="auto"/>
          <w:sz w:val="28"/>
        </w:rPr>
      </w:pPr>
    </w:p>
    <w:p w14:paraId="063A2E34">
      <w:pPr>
        <w:pStyle w:val="3"/>
        <w:rPr>
          <w:rFonts w:hint="eastAsia" w:ascii="宋体" w:hAnsi="宋体" w:eastAsia="宋体" w:cs="宋体"/>
          <w:sz w:val="30"/>
        </w:rPr>
      </w:pPr>
      <w:r>
        <w:rPr>
          <w:rFonts w:ascii="宋体" w:hAnsi="宋体" w:eastAsia="宋体" w:cs="宋体"/>
          <w:sz w:val="30"/>
        </w:rPr>
        <w:t>二、招标范围及要求</w:t>
      </w:r>
    </w:p>
    <w:p w14:paraId="010B2995">
      <w:pPr>
        <w:pStyle w:val="4"/>
        <w:rPr>
          <w:rFonts w:hint="default" w:ascii="宋体" w:hAnsi="宋体" w:eastAsia="宋体" w:cs="宋体"/>
          <w:lang w:val="en-US" w:eastAsia="zh-CN"/>
        </w:rPr>
      </w:pPr>
      <w:r>
        <w:rPr>
          <w:rFonts w:ascii="宋体" w:hAnsi="宋体" w:eastAsia="宋体" w:cs="宋体"/>
        </w:rPr>
        <w:t>（一）</w:t>
      </w:r>
      <w:r>
        <w:rPr>
          <w:rFonts w:hint="eastAsia" w:ascii="宋体" w:hAnsi="宋体" w:eastAsia="宋体" w:cs="宋体"/>
          <w:lang w:val="en-US" w:eastAsia="zh-CN"/>
        </w:rPr>
        <w:t>展览策划方案设计</w:t>
      </w:r>
    </w:p>
    <w:p w14:paraId="0754F086">
      <w:pPr>
        <w:spacing w:before="120" w:after="0"/>
        <w:jc w:val="left"/>
        <w:rPr>
          <w:rFonts w:hint="eastAsia" w:ascii="宋体" w:hAnsi="宋体" w:eastAsia="宋体" w:cs="宋体"/>
          <w:color w:val="auto"/>
          <w:sz w:val="28"/>
          <w:lang w:val="en-US" w:eastAsia="zh-CN"/>
        </w:rPr>
      </w:pPr>
      <w:r>
        <w:rPr>
          <w:rFonts w:ascii="宋体" w:hAnsi="宋体" w:eastAsia="宋体" w:cs="宋体"/>
          <w:color w:val="auto"/>
          <w:sz w:val="28"/>
        </w:rPr>
        <w:t>根据</w:t>
      </w:r>
      <w:r>
        <w:rPr>
          <w:rFonts w:hint="eastAsia" w:ascii="宋体" w:hAnsi="宋体" w:eastAsia="宋体" w:cs="宋体"/>
          <w:color w:val="auto"/>
          <w:sz w:val="28"/>
          <w:lang w:val="en-US" w:eastAsia="zh-CN"/>
        </w:rPr>
        <w:t>展览主题、展览场地、展项等资料，结合甲方要求对展览形成全面的策展方案，以及相对应的平面设计与空间设计方案。</w:t>
      </w:r>
    </w:p>
    <w:p w14:paraId="38A5742B">
      <w:pPr>
        <w:spacing w:before="120" w:after="0"/>
        <w:jc w:val="left"/>
        <w:rPr>
          <w:rFonts w:hint="default" w:ascii="宋体" w:hAnsi="宋体" w:eastAsia="宋体" w:cs="宋体"/>
          <w:color w:val="auto"/>
          <w:sz w:val="28"/>
          <w:lang w:val="en-US" w:eastAsia="zh-CN"/>
        </w:rPr>
      </w:pPr>
      <w:r>
        <w:rPr>
          <w:rFonts w:ascii="宋体" w:hAnsi="宋体" w:eastAsia="宋体" w:cs="宋体"/>
          <w:b/>
          <w:color w:val="0070C0"/>
          <w:sz w:val="28"/>
        </w:rPr>
        <w:t>1、</w:t>
      </w:r>
      <w:r>
        <w:rPr>
          <w:rFonts w:hint="eastAsia" w:ascii="宋体" w:hAnsi="宋体" w:eastAsia="宋体" w:cs="宋体"/>
          <w:b/>
          <w:color w:val="0070C0"/>
          <w:sz w:val="28"/>
          <w:lang w:val="en-US" w:eastAsia="zh-CN"/>
        </w:rPr>
        <w:t>展览策划方案：</w:t>
      </w:r>
      <w:r>
        <w:rPr>
          <w:rFonts w:hint="eastAsia" w:ascii="宋体" w:hAnsi="宋体" w:eastAsia="宋体" w:cs="宋体"/>
          <w:color w:val="auto"/>
          <w:sz w:val="28"/>
          <w:lang w:val="en-US" w:eastAsia="zh-CN"/>
        </w:rPr>
        <w:t>紧扣展览主题，对展览形成一套完整的策划方案文件，包含展览大纲、设计理念与思路、空间分析与平面布局、参观动线、展项设计等内容。</w:t>
      </w:r>
      <w:r>
        <w:rPr>
          <w:rFonts w:hint="eastAsia" w:ascii="宋体" w:hAnsi="宋体" w:eastAsia="宋体" w:cs="宋体"/>
          <w:color w:val="auto"/>
          <w:sz w:val="28"/>
          <w:lang w:val="en-US" w:eastAsia="zh-CN"/>
        </w:rPr>
        <w:br w:type="textWrapping"/>
      </w:r>
      <w:r>
        <w:rPr>
          <w:rFonts w:hint="eastAsia" w:ascii="宋体" w:hAnsi="宋体" w:eastAsia="宋体" w:cs="宋体"/>
          <w:b/>
          <w:color w:val="0070C0"/>
          <w:sz w:val="28"/>
          <w:lang w:val="en-US" w:eastAsia="zh-CN"/>
        </w:rPr>
        <w:t>2、平面内容设计图</w:t>
      </w:r>
      <w:r>
        <w:rPr>
          <w:rFonts w:ascii="宋体" w:hAnsi="宋体" w:eastAsia="宋体" w:cs="宋体"/>
          <w:b/>
          <w:color w:val="0070C0"/>
          <w:sz w:val="28"/>
        </w:rPr>
        <w:t>：</w:t>
      </w:r>
      <w:r>
        <w:rPr>
          <w:rFonts w:hint="eastAsia" w:ascii="宋体" w:hAnsi="宋体" w:eastAsia="宋体" w:cs="宋体"/>
          <w:color w:val="auto"/>
          <w:sz w:val="28"/>
          <w:lang w:val="en-US" w:eastAsia="zh-CN"/>
        </w:rPr>
        <w:t>根据展厅空间与展项内容，制作平面设计图，含各展项表现形式、风格定位、内容设计排版等。</w:t>
      </w:r>
    </w:p>
    <w:p w14:paraId="01D3E0DF">
      <w:pPr>
        <w:spacing w:before="120" w:after="0"/>
        <w:jc w:val="left"/>
        <w:rPr>
          <w:rFonts w:ascii="宋体" w:hAnsi="宋体" w:eastAsia="宋体" w:cs="宋体"/>
          <w:color w:val="auto"/>
          <w:sz w:val="28"/>
        </w:rPr>
      </w:pPr>
      <w:r>
        <w:rPr>
          <w:rFonts w:hint="eastAsia" w:ascii="宋体" w:hAnsi="宋体" w:eastAsia="宋体" w:cs="宋体"/>
          <w:b/>
          <w:color w:val="0070C0"/>
          <w:sz w:val="28"/>
          <w:lang w:val="en-US" w:eastAsia="zh-CN"/>
        </w:rPr>
        <w:t>3</w:t>
      </w:r>
      <w:r>
        <w:rPr>
          <w:rFonts w:ascii="宋体" w:hAnsi="宋体" w:eastAsia="宋体" w:cs="宋体"/>
          <w:b/>
          <w:color w:val="0070C0"/>
          <w:sz w:val="28"/>
        </w:rPr>
        <w:t>、</w:t>
      </w:r>
      <w:r>
        <w:rPr>
          <w:rFonts w:hint="eastAsia" w:ascii="宋体" w:hAnsi="宋体" w:eastAsia="宋体" w:cs="宋体"/>
          <w:b/>
          <w:color w:val="0070C0"/>
          <w:sz w:val="28"/>
          <w:lang w:val="en-US" w:eastAsia="zh-CN"/>
        </w:rPr>
        <w:t>空间渲染效果图</w:t>
      </w:r>
      <w:r>
        <w:rPr>
          <w:rFonts w:ascii="宋体" w:hAnsi="宋体" w:eastAsia="宋体" w:cs="宋体"/>
          <w:b/>
          <w:color w:val="0070C0"/>
          <w:sz w:val="28"/>
        </w:rPr>
        <w:t>：</w:t>
      </w:r>
      <w:r>
        <w:rPr>
          <w:rFonts w:hint="eastAsia" w:ascii="宋体" w:hAnsi="宋体" w:eastAsia="宋体" w:cs="宋体"/>
          <w:color w:val="auto"/>
          <w:sz w:val="28"/>
          <w:lang w:val="en-US" w:eastAsia="zh-CN"/>
        </w:rPr>
        <w:t>在平面设计图的基础上，根据实际空间制作三维空间设计图，含整体效果图、细节局部效果图；含展品建模、渲染等。</w:t>
      </w:r>
      <w:r>
        <w:rPr>
          <w:rFonts w:hint="eastAsia" w:ascii="宋体" w:hAnsi="宋体" w:eastAsia="宋体" w:cs="宋体"/>
          <w:color w:val="auto"/>
          <w:sz w:val="28"/>
          <w:lang w:val="en-US" w:eastAsia="zh-CN"/>
        </w:rPr>
        <w:br w:type="textWrapping"/>
      </w:r>
      <w:r>
        <w:rPr>
          <w:rFonts w:hint="eastAsia" w:ascii="宋体" w:hAnsi="宋体" w:eastAsia="宋体" w:cs="宋体"/>
          <w:b/>
          <w:color w:val="0070C0"/>
          <w:sz w:val="28"/>
          <w:lang w:val="en-US" w:eastAsia="zh-CN"/>
        </w:rPr>
        <w:t>4、</w:t>
      </w:r>
      <w:r>
        <w:rPr>
          <w:rFonts w:ascii="宋体" w:hAnsi="宋体" w:eastAsia="宋体" w:cs="宋体"/>
          <w:b/>
          <w:color w:val="0070C0"/>
          <w:sz w:val="28"/>
        </w:rPr>
        <w:t>要求：</w:t>
      </w:r>
      <w:r>
        <w:rPr>
          <w:rFonts w:ascii="宋体" w:hAnsi="宋体" w:eastAsia="宋体" w:cs="宋体"/>
          <w:color w:val="auto"/>
          <w:sz w:val="28"/>
        </w:rPr>
        <w:t>设计风格统一，与</w:t>
      </w:r>
      <w:r>
        <w:rPr>
          <w:rFonts w:hint="eastAsia" w:ascii="宋体" w:hAnsi="宋体" w:eastAsia="宋体" w:cs="宋体"/>
          <w:color w:val="auto"/>
          <w:sz w:val="28"/>
          <w:lang w:val="en-US" w:eastAsia="zh-CN"/>
        </w:rPr>
        <w:t>展览</w:t>
      </w:r>
      <w:r>
        <w:rPr>
          <w:rFonts w:ascii="宋体" w:hAnsi="宋体" w:eastAsia="宋体" w:cs="宋体"/>
          <w:color w:val="auto"/>
          <w:sz w:val="28"/>
        </w:rPr>
        <w:t>主题紧密结合。突出量子科学特色与</w:t>
      </w:r>
      <w:r>
        <w:rPr>
          <w:rFonts w:hint="eastAsia" w:ascii="宋体" w:hAnsi="宋体" w:eastAsia="宋体" w:cs="宋体"/>
          <w:color w:val="auto"/>
          <w:sz w:val="28"/>
          <w:lang w:val="en-US" w:eastAsia="zh-CN"/>
        </w:rPr>
        <w:t>前沿科技感</w:t>
      </w:r>
      <w:r>
        <w:rPr>
          <w:rFonts w:ascii="宋体" w:hAnsi="宋体" w:eastAsia="宋体" w:cs="宋体"/>
          <w:color w:val="auto"/>
          <w:sz w:val="28"/>
        </w:rPr>
        <w:t>，</w:t>
      </w:r>
      <w:r>
        <w:rPr>
          <w:rFonts w:hint="eastAsia" w:ascii="宋体" w:hAnsi="宋体" w:eastAsia="宋体" w:cs="宋体"/>
          <w:color w:val="auto"/>
          <w:sz w:val="28"/>
          <w:lang w:val="en-US" w:eastAsia="zh-CN"/>
        </w:rPr>
        <w:t>运用灯光、色彩以及装置等装饰性元素，</w:t>
      </w:r>
      <w:r>
        <w:rPr>
          <w:rFonts w:ascii="宋体" w:hAnsi="宋体" w:eastAsia="宋体" w:cs="宋体"/>
          <w:color w:val="auto"/>
          <w:sz w:val="28"/>
        </w:rPr>
        <w:t>体现</w:t>
      </w:r>
      <w:r>
        <w:rPr>
          <w:rFonts w:hint="eastAsia" w:ascii="宋体" w:hAnsi="宋体" w:eastAsia="宋体" w:cs="宋体"/>
          <w:color w:val="auto"/>
          <w:sz w:val="28"/>
          <w:lang w:val="en-US" w:eastAsia="zh-CN"/>
        </w:rPr>
        <w:t>展览的</w:t>
      </w:r>
      <w:r>
        <w:rPr>
          <w:rFonts w:ascii="宋体" w:hAnsi="宋体" w:eastAsia="宋体" w:cs="宋体"/>
          <w:color w:val="auto"/>
          <w:sz w:val="28"/>
        </w:rPr>
        <w:t>高端质感和潮流品质，确保最终设计符合</w:t>
      </w:r>
      <w:r>
        <w:rPr>
          <w:rFonts w:hint="eastAsia" w:ascii="宋体" w:hAnsi="宋体" w:eastAsia="宋体" w:cs="宋体"/>
          <w:color w:val="auto"/>
          <w:sz w:val="28"/>
          <w:lang w:val="en-US" w:eastAsia="zh-CN"/>
        </w:rPr>
        <w:t>展览</w:t>
      </w:r>
      <w:r>
        <w:rPr>
          <w:rFonts w:ascii="宋体" w:hAnsi="宋体" w:eastAsia="宋体" w:cs="宋体"/>
          <w:color w:val="auto"/>
          <w:sz w:val="28"/>
        </w:rPr>
        <w:t>定位和品牌形象。</w:t>
      </w:r>
    </w:p>
    <w:p w14:paraId="08AB22EC">
      <w:pPr>
        <w:pStyle w:val="4"/>
        <w:keepNext/>
        <w:keepLines/>
        <w:pageBreakBefore w:val="0"/>
        <w:widowControl w:val="0"/>
        <w:kinsoku/>
        <w:wordWrap/>
        <w:overflowPunct/>
        <w:topLinePunct w:val="0"/>
        <w:autoSpaceDE/>
        <w:autoSpaceDN/>
        <w:bidi w:val="0"/>
        <w:adjustRightInd/>
        <w:snapToGrid/>
        <w:textAlignment w:val="auto"/>
        <w:rPr>
          <w:rFonts w:hint="eastAsia" w:ascii="宋体" w:hAnsi="宋体" w:eastAsia="宋体" w:cs="宋体"/>
        </w:rPr>
      </w:pPr>
    </w:p>
    <w:p w14:paraId="3FF4B2A5">
      <w:pPr>
        <w:pStyle w:val="4"/>
        <w:keepNext/>
        <w:keepLines/>
        <w:pageBreakBefore w:val="0"/>
        <w:widowControl w:val="0"/>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二</w:t>
      </w:r>
      <w:r>
        <w:rPr>
          <w:rFonts w:hint="eastAsia" w:ascii="宋体" w:hAnsi="宋体" w:eastAsia="宋体" w:cs="宋体"/>
        </w:rPr>
        <w:t>）展览</w:t>
      </w:r>
      <w:r>
        <w:rPr>
          <w:rFonts w:hint="eastAsia" w:ascii="宋体" w:hAnsi="宋体" w:eastAsia="宋体" w:cs="宋体"/>
          <w:lang w:val="en-US" w:eastAsia="zh-CN"/>
        </w:rPr>
        <w:t>展陈设计</w:t>
      </w:r>
    </w:p>
    <w:p w14:paraId="6D473220">
      <w:pPr>
        <w:spacing w:before="120" w:after="0"/>
        <w:jc w:val="left"/>
        <w:rPr>
          <w:rFonts w:hint="eastAsia" w:ascii="宋体" w:hAnsi="宋体" w:eastAsia="宋体" w:cs="宋体"/>
          <w:color w:val="auto"/>
          <w:sz w:val="28"/>
          <w:lang w:val="en-US" w:eastAsia="zh-CN"/>
        </w:rPr>
      </w:pPr>
      <w:r>
        <w:rPr>
          <w:rFonts w:hint="eastAsia" w:ascii="宋体" w:hAnsi="宋体" w:eastAsia="宋体" w:cs="宋体"/>
          <w:color w:val="auto"/>
          <w:sz w:val="28"/>
        </w:rPr>
        <w:t>根据展览</w:t>
      </w:r>
      <w:r>
        <w:rPr>
          <w:rFonts w:hint="eastAsia" w:ascii="宋体" w:hAnsi="宋体" w:eastAsia="宋体" w:cs="宋体"/>
          <w:color w:val="auto"/>
          <w:sz w:val="28"/>
          <w:lang w:val="en-US" w:eastAsia="zh-CN"/>
        </w:rPr>
        <w:t>主题与展区空间，选择合适的展品进行设计，合理安排展品的呈现顺序，并合理规划互动展项与互动体验</w:t>
      </w:r>
      <w:r>
        <w:rPr>
          <w:rFonts w:hint="eastAsia" w:ascii="宋体" w:hAnsi="宋体" w:eastAsia="宋体" w:cs="宋体"/>
          <w:color w:val="auto"/>
          <w:sz w:val="28"/>
        </w:rPr>
        <w:t>。</w:t>
      </w:r>
      <w:r>
        <w:rPr>
          <w:rFonts w:hint="eastAsia" w:ascii="宋体" w:hAnsi="宋体" w:eastAsia="宋体" w:cs="宋体"/>
          <w:color w:val="auto"/>
          <w:sz w:val="28"/>
        </w:rPr>
        <w:br w:type="textWrapping"/>
      </w:r>
      <w:r>
        <w:rPr>
          <w:rFonts w:hint="eastAsia" w:ascii="宋体" w:hAnsi="宋体" w:eastAsia="宋体" w:cs="宋体"/>
          <w:b/>
          <w:color w:val="0070C0"/>
          <w:sz w:val="28"/>
          <w:lang w:val="en-US" w:eastAsia="zh-CN"/>
        </w:rPr>
        <w:t>1、展品策划：</w:t>
      </w:r>
      <w:r>
        <w:rPr>
          <w:rFonts w:hint="eastAsia" w:ascii="宋体" w:hAnsi="宋体" w:eastAsia="宋体" w:cs="宋体"/>
          <w:color w:val="auto"/>
          <w:sz w:val="28"/>
          <w:lang w:val="en-US" w:eastAsia="zh-CN"/>
        </w:rPr>
        <w:t>根据展项清单，对展品的呈现形式与搭建方案进行具体设计。</w:t>
      </w:r>
      <w:r>
        <w:rPr>
          <w:rFonts w:hint="eastAsia" w:ascii="宋体" w:hAnsi="宋体" w:eastAsia="宋体" w:cs="宋体"/>
          <w:color w:val="auto"/>
          <w:sz w:val="28"/>
          <w:lang w:val="en-US" w:eastAsia="zh-CN"/>
        </w:rPr>
        <w:br w:type="textWrapping"/>
      </w:r>
      <w:r>
        <w:rPr>
          <w:rFonts w:hint="eastAsia" w:ascii="宋体" w:hAnsi="宋体" w:eastAsia="宋体" w:cs="宋体"/>
          <w:b/>
          <w:color w:val="0070C0"/>
          <w:sz w:val="28"/>
          <w:lang w:val="en-US" w:eastAsia="zh-CN"/>
        </w:rPr>
        <w:t>2、互动展项与体验设计：</w:t>
      </w:r>
      <w:r>
        <w:rPr>
          <w:rFonts w:hint="eastAsia" w:ascii="宋体" w:hAnsi="宋体" w:eastAsia="宋体" w:cs="宋体"/>
          <w:color w:val="auto"/>
          <w:sz w:val="28"/>
          <w:lang w:val="en-US" w:eastAsia="zh-CN"/>
        </w:rPr>
        <w:t>安排一定比例（≧25%）的互动体验展项，可包含且不限于裸眼3D、VR/AR、手工制作、集章等，内容需要紧扣量子物理相关概念。</w:t>
      </w:r>
    </w:p>
    <w:p w14:paraId="5BE80F6F">
      <w:pPr>
        <w:spacing w:before="120" w:after="0"/>
        <w:jc w:val="left"/>
        <w:rPr>
          <w:rFonts w:hint="eastAsia" w:ascii="宋体" w:hAnsi="宋体" w:eastAsia="宋体" w:cs="宋体"/>
          <w:lang w:eastAsia="zh-CN"/>
        </w:rPr>
      </w:pPr>
      <w:r>
        <w:rPr>
          <w:rFonts w:hint="eastAsia" w:ascii="宋体" w:hAnsi="宋体" w:eastAsia="宋体" w:cs="宋体"/>
          <w:b/>
          <w:color w:val="0070C0"/>
          <w:sz w:val="28"/>
          <w:lang w:val="en-US" w:eastAsia="zh-CN"/>
        </w:rPr>
        <w:t>3、要求：</w:t>
      </w:r>
      <w:r>
        <w:rPr>
          <w:rFonts w:hint="eastAsia" w:ascii="宋体" w:hAnsi="宋体" w:eastAsia="宋体" w:cs="宋体"/>
          <w:color w:val="auto"/>
          <w:sz w:val="28"/>
          <w:lang w:val="en-US" w:eastAsia="zh-CN"/>
        </w:rPr>
        <w:t>设计风格与展览主题紧密结合，展项呈现顺序要符合展览叙事逻辑，能够创造出流畅的参观动线，展品需要兼具视觉上的美观性与内容上的实用性。</w:t>
      </w:r>
      <w:r>
        <w:rPr>
          <w:rFonts w:hint="eastAsia" w:ascii="宋体" w:hAnsi="宋体" w:eastAsia="宋体" w:cs="宋体"/>
          <w:color w:val="auto"/>
          <w:sz w:val="28"/>
          <w:lang w:val="en-US" w:eastAsia="zh-CN"/>
        </w:rPr>
        <w:br w:type="textWrapping"/>
      </w:r>
    </w:p>
    <w:p w14:paraId="4953C85F">
      <w:pPr>
        <w:pStyle w:val="4"/>
        <w:rPr>
          <w:rFonts w:hint="default" w:ascii="宋体" w:hAnsi="宋体" w:eastAsia="宋体" w:cs="宋体"/>
          <w:lang w:val="en-US" w:eastAsia="zh-CN"/>
        </w:rPr>
      </w:pPr>
      <w:r>
        <w:rPr>
          <w:rFonts w:ascii="宋体" w:hAnsi="宋体" w:eastAsia="宋体" w:cs="宋体"/>
        </w:rPr>
        <w:t>（</w:t>
      </w:r>
      <w:r>
        <w:rPr>
          <w:rFonts w:hint="eastAsia" w:ascii="宋体" w:hAnsi="宋体" w:eastAsia="宋体" w:cs="宋体"/>
          <w:lang w:val="en-US" w:eastAsia="zh-CN"/>
        </w:rPr>
        <w:t>三</w:t>
      </w:r>
      <w:r>
        <w:rPr>
          <w:rFonts w:ascii="宋体" w:hAnsi="宋体" w:eastAsia="宋体" w:cs="宋体"/>
        </w:rPr>
        <w:t>）</w:t>
      </w:r>
      <w:r>
        <w:rPr>
          <w:rFonts w:hint="eastAsia" w:ascii="宋体" w:hAnsi="宋体" w:eastAsia="宋体" w:cs="宋体"/>
          <w:lang w:val="en-US" w:eastAsia="zh-CN"/>
        </w:rPr>
        <w:t>展览宣传物料设计</w:t>
      </w:r>
    </w:p>
    <w:p w14:paraId="2E3ABE21">
      <w:pPr>
        <w:spacing w:before="120" w:after="0"/>
        <w:jc w:val="left"/>
        <w:rPr>
          <w:rFonts w:hint="eastAsia" w:ascii="宋体" w:hAnsi="宋体" w:eastAsia="宋体" w:cs="宋体"/>
          <w:color w:val="auto"/>
          <w:sz w:val="28"/>
        </w:rPr>
      </w:pPr>
      <w:r>
        <w:rPr>
          <w:rFonts w:ascii="宋体" w:hAnsi="宋体" w:eastAsia="宋体" w:cs="宋体"/>
          <w:color w:val="auto"/>
          <w:sz w:val="28"/>
        </w:rPr>
        <w:t>根据</w:t>
      </w:r>
      <w:r>
        <w:rPr>
          <w:rFonts w:hint="eastAsia" w:ascii="宋体" w:hAnsi="宋体" w:eastAsia="宋体" w:cs="宋体"/>
          <w:color w:val="auto"/>
          <w:sz w:val="28"/>
          <w:lang w:val="en-US" w:eastAsia="zh-CN"/>
        </w:rPr>
        <w:t>展览主题与核心理念，设计相关宣传物料及延展物料</w:t>
      </w:r>
      <w:r>
        <w:rPr>
          <w:rFonts w:ascii="宋体" w:hAnsi="宋体" w:eastAsia="宋体" w:cs="宋体"/>
          <w:color w:val="auto"/>
          <w:sz w:val="28"/>
        </w:rPr>
        <w:t>。</w:t>
      </w:r>
    </w:p>
    <w:p w14:paraId="1E9CB4C2">
      <w:pPr>
        <w:rPr>
          <w:rFonts w:hint="eastAsia" w:ascii="宋体" w:hAnsi="宋体" w:eastAsia="宋体" w:cs="宋体"/>
          <w:color w:val="auto"/>
          <w:sz w:val="28"/>
          <w:lang w:val="en-US" w:eastAsia="zh-CN"/>
        </w:rPr>
      </w:pPr>
      <w:r>
        <w:rPr>
          <w:rFonts w:ascii="宋体" w:hAnsi="宋体" w:eastAsia="宋体" w:cs="宋体"/>
          <w:b/>
          <w:color w:val="0070C0"/>
          <w:sz w:val="28"/>
        </w:rPr>
        <w:t>1、</w:t>
      </w:r>
      <w:r>
        <w:rPr>
          <w:rFonts w:hint="eastAsia" w:ascii="宋体" w:hAnsi="宋体" w:eastAsia="宋体" w:cs="宋体"/>
          <w:b/>
          <w:color w:val="0070C0"/>
          <w:sz w:val="28"/>
          <w:lang w:val="en-US" w:eastAsia="zh-CN"/>
        </w:rPr>
        <w:t>线上物料：</w:t>
      </w:r>
      <w:r>
        <w:rPr>
          <w:rFonts w:hint="eastAsia" w:ascii="宋体" w:hAnsi="宋体" w:eastAsia="宋体" w:cs="宋体"/>
          <w:color w:val="000000" w:themeColor="text1"/>
          <w:sz w:val="28"/>
          <w:lang w:val="en-US" w:eastAsia="zh-CN"/>
          <w14:textFill>
            <w14:solidFill>
              <w14:schemeClr w14:val="tx1"/>
            </w14:solidFill>
          </w14:textFill>
        </w:rPr>
        <w:t>包括且不限于</w:t>
      </w:r>
      <w:r>
        <w:rPr>
          <w:rFonts w:hint="eastAsia" w:ascii="宋体" w:hAnsi="宋体" w:eastAsia="宋体" w:cs="宋体"/>
          <w:color w:val="auto"/>
          <w:sz w:val="28"/>
          <w:lang w:val="en-US" w:eastAsia="zh-CN"/>
        </w:rPr>
        <w:t>主KV、横/竖版海报、贵宾邀请函、线上直播头图等；</w:t>
      </w:r>
    </w:p>
    <w:p w14:paraId="6E634FC2">
      <w:pPr>
        <w:rPr>
          <w:rFonts w:hint="default" w:ascii="宋体" w:hAnsi="宋体" w:eastAsia="宋体" w:cs="宋体"/>
          <w:color w:val="auto"/>
          <w:sz w:val="28"/>
          <w:lang w:val="en-US" w:eastAsia="zh-CN"/>
        </w:rPr>
      </w:pPr>
      <w:r>
        <w:rPr>
          <w:rFonts w:hint="eastAsia" w:ascii="宋体" w:hAnsi="宋体" w:eastAsia="宋体" w:cs="宋体"/>
          <w:b/>
          <w:color w:val="0070C0"/>
          <w:sz w:val="28"/>
          <w:lang w:val="en-US" w:eastAsia="zh-CN"/>
        </w:rPr>
        <w:t>2</w:t>
      </w:r>
      <w:r>
        <w:rPr>
          <w:rFonts w:hint="default" w:ascii="宋体" w:hAnsi="宋体" w:eastAsia="宋体" w:cs="宋体"/>
          <w:b/>
          <w:color w:val="0070C0"/>
          <w:sz w:val="28"/>
          <w:lang w:val="en-US" w:eastAsia="zh-CN"/>
        </w:rPr>
        <w:t>、线</w:t>
      </w:r>
      <w:r>
        <w:rPr>
          <w:rFonts w:hint="eastAsia" w:ascii="宋体" w:hAnsi="宋体" w:eastAsia="宋体" w:cs="宋体"/>
          <w:b/>
          <w:color w:val="0070C0"/>
          <w:sz w:val="28"/>
          <w:lang w:val="en-US" w:eastAsia="zh-CN"/>
        </w:rPr>
        <w:t>下</w:t>
      </w:r>
      <w:r>
        <w:rPr>
          <w:rFonts w:hint="default" w:ascii="宋体" w:hAnsi="宋体" w:eastAsia="宋体" w:cs="宋体"/>
          <w:b/>
          <w:color w:val="0070C0"/>
          <w:sz w:val="28"/>
          <w:lang w:val="en-US" w:eastAsia="zh-CN"/>
        </w:rPr>
        <w:t>物料：</w:t>
      </w:r>
      <w:r>
        <w:rPr>
          <w:rFonts w:hint="eastAsia" w:ascii="宋体" w:hAnsi="宋体" w:eastAsia="宋体" w:cs="宋体"/>
          <w:color w:val="000000" w:themeColor="text1"/>
          <w:sz w:val="28"/>
          <w:lang w:val="en-US" w:eastAsia="zh-CN"/>
          <w14:textFill>
            <w14:solidFill>
              <w14:schemeClr w14:val="tx1"/>
            </w14:solidFill>
          </w14:textFill>
        </w:rPr>
        <w:t>包括且不限于</w:t>
      </w:r>
      <w:r>
        <w:rPr>
          <w:rFonts w:hint="eastAsia" w:ascii="宋体" w:hAnsi="宋体" w:eastAsia="宋体" w:cs="宋体"/>
          <w:color w:val="auto"/>
          <w:sz w:val="28"/>
          <w:lang w:val="en-US" w:eastAsia="zh-CN"/>
        </w:rPr>
        <w:t>桁架、展览手册、工作证、打卡装置、帷幔、地贴等氛围装置等。</w:t>
      </w:r>
    </w:p>
    <w:p w14:paraId="64BB9C33">
      <w:pPr>
        <w:rPr>
          <w:rFonts w:hint="eastAsia" w:ascii="宋体" w:hAnsi="宋体" w:eastAsia="宋体" w:cs="宋体"/>
          <w:color w:val="auto"/>
          <w:sz w:val="28"/>
          <w:lang w:val="en-US" w:eastAsia="zh-CN"/>
        </w:rPr>
      </w:pPr>
      <w:r>
        <w:rPr>
          <w:rFonts w:hint="eastAsia" w:ascii="宋体" w:hAnsi="宋体" w:eastAsia="宋体" w:cs="宋体"/>
          <w:b/>
          <w:color w:val="0070C0"/>
          <w:sz w:val="28"/>
        </w:rPr>
        <w:t>3、要求：</w:t>
      </w:r>
      <w:r>
        <w:rPr>
          <w:rFonts w:hint="eastAsia" w:ascii="宋体" w:hAnsi="宋体" w:eastAsia="宋体" w:cs="宋体"/>
          <w:color w:val="auto"/>
          <w:sz w:val="28"/>
          <w:lang w:val="en-US" w:eastAsia="zh-CN"/>
        </w:rPr>
        <w:t>设计风格统一，与展览主题紧密结合。突出量子科学特色与前沿科技感，体现高端质感和潮流品质，确保最终设计符合活动定位和品牌形象。</w:t>
      </w:r>
    </w:p>
    <w:p w14:paraId="347C474E">
      <w:pPr>
        <w:rPr>
          <w:rFonts w:hint="eastAsia" w:ascii="宋体" w:hAnsi="宋体" w:eastAsia="宋体" w:cs="宋体"/>
          <w:color w:val="auto"/>
          <w:sz w:val="28"/>
          <w:lang w:val="en-US" w:eastAsia="zh-CN"/>
        </w:rPr>
      </w:pPr>
    </w:p>
    <w:p w14:paraId="7DDD1EF7">
      <w:pPr>
        <w:pStyle w:val="4"/>
        <w:rPr>
          <w:rFonts w:hint="default" w:ascii="宋体" w:hAnsi="宋体" w:eastAsia="宋体" w:cs="宋体"/>
          <w:lang w:val="en-US" w:eastAsia="zh-CN"/>
        </w:rPr>
      </w:pPr>
      <w:r>
        <w:rPr>
          <w:rFonts w:ascii="宋体" w:hAnsi="宋体" w:eastAsia="宋体" w:cs="宋体"/>
        </w:rPr>
        <w:t>（三）</w:t>
      </w:r>
      <w:r>
        <w:rPr>
          <w:rFonts w:hint="eastAsia" w:ascii="宋体" w:hAnsi="宋体" w:eastAsia="宋体" w:cs="宋体"/>
          <w:lang w:val="en-US" w:eastAsia="zh-CN"/>
        </w:rPr>
        <w:t>展览施工与搭建</w:t>
      </w:r>
    </w:p>
    <w:p w14:paraId="5B907328">
      <w:pPr>
        <w:rPr>
          <w:rFonts w:hint="eastAsia" w:ascii="宋体" w:hAnsi="宋体" w:eastAsia="宋体" w:cs="宋体"/>
          <w:color w:val="auto"/>
          <w:sz w:val="28"/>
          <w:lang w:val="en-US" w:eastAsia="zh-CN"/>
        </w:rPr>
      </w:pPr>
      <w:r>
        <w:rPr>
          <w:rFonts w:hint="eastAsia" w:ascii="宋体" w:hAnsi="宋体" w:eastAsia="宋体" w:cs="宋体"/>
          <w:b/>
          <w:color w:val="0070C0"/>
          <w:sz w:val="28"/>
          <w:lang w:val="en-US" w:eastAsia="zh-CN"/>
        </w:rPr>
        <w:t>1、施工图纸：</w:t>
      </w:r>
      <w:r>
        <w:rPr>
          <w:rFonts w:hint="eastAsia" w:ascii="宋体" w:hAnsi="宋体" w:eastAsia="宋体" w:cs="宋体"/>
          <w:color w:val="auto"/>
          <w:sz w:val="28"/>
          <w:lang w:val="en-US" w:eastAsia="zh-CN"/>
        </w:rPr>
        <w:t>提供落地施工时的施工图纸与方案。</w:t>
      </w:r>
    </w:p>
    <w:p w14:paraId="2AA4C50D">
      <w:pPr>
        <w:numPr>
          <w:numId w:val="0"/>
        </w:numPr>
        <w:rPr>
          <w:rFonts w:hint="default" w:ascii="宋体" w:hAnsi="宋体" w:eastAsia="宋体" w:cs="宋体"/>
          <w:color w:val="auto"/>
          <w:sz w:val="28"/>
          <w:lang w:val="en-US" w:eastAsia="zh-CN"/>
        </w:rPr>
      </w:pPr>
      <w:r>
        <w:rPr>
          <w:rFonts w:hint="eastAsia" w:ascii="宋体" w:hAnsi="宋体" w:eastAsia="宋体" w:cs="宋体"/>
          <w:b/>
          <w:color w:val="0070C0"/>
          <w:sz w:val="28"/>
          <w:lang w:val="en-US" w:eastAsia="zh-CN"/>
        </w:rPr>
        <w:t>2、落地施工：</w:t>
      </w:r>
      <w:r>
        <w:rPr>
          <w:rFonts w:hint="eastAsia" w:ascii="宋体" w:hAnsi="宋体" w:eastAsia="宋体" w:cs="宋体"/>
          <w:color w:val="auto"/>
          <w:sz w:val="28"/>
          <w:lang w:val="en-US" w:eastAsia="zh-CN"/>
        </w:rPr>
        <w:t>完成本项目范围内全部环境营造施工、展品展台制作、展品安装及调试。</w:t>
      </w:r>
      <w:r>
        <w:rPr>
          <w:rFonts w:hint="eastAsia" w:ascii="宋体" w:hAnsi="宋体" w:eastAsia="宋体" w:cs="宋体"/>
          <w:color w:val="auto"/>
          <w:sz w:val="28"/>
          <w:lang w:val="en-US" w:eastAsia="zh-CN"/>
        </w:rPr>
        <w:br w:type="textWrapping"/>
      </w:r>
      <w:r>
        <w:rPr>
          <w:rFonts w:hint="eastAsia" w:ascii="宋体" w:hAnsi="宋体" w:eastAsia="宋体" w:cs="宋体"/>
          <w:b/>
          <w:color w:val="0070C0"/>
          <w:sz w:val="28"/>
          <w:lang w:val="en-US" w:eastAsia="zh-CN"/>
        </w:rPr>
        <w:t>3、安全维保：</w:t>
      </w:r>
      <w:r>
        <w:rPr>
          <w:rFonts w:hint="eastAsia" w:ascii="宋体" w:hAnsi="宋体" w:eastAsia="宋体" w:cs="宋体"/>
          <w:color w:val="auto"/>
          <w:sz w:val="28"/>
          <w:lang w:val="en-US" w:eastAsia="zh-CN"/>
        </w:rPr>
        <w:t>负责本项目施工区域内的安全管理、验收、维保等工作。施工过程中必须遵守上海图书馆东馆的各项规定，确保展览布展过程中的安全；布展、耗材要做到安全、环保；严格按照设计方案进行备料、施工、运输和安装；施工时注意保护场地原有的顶、地、墙等；确保售后服务和维护。</w:t>
      </w:r>
      <w:r>
        <w:rPr>
          <w:rFonts w:hint="eastAsia" w:ascii="宋体" w:hAnsi="宋体" w:eastAsia="宋体" w:cs="宋体"/>
          <w:color w:val="auto"/>
          <w:sz w:val="28"/>
          <w:lang w:val="en-US" w:eastAsia="zh-CN"/>
        </w:rPr>
        <w:br w:type="textWrapping"/>
      </w:r>
      <w:r>
        <w:rPr>
          <w:rFonts w:hint="eastAsia" w:ascii="宋体" w:hAnsi="宋体" w:eastAsia="宋体" w:cs="宋体"/>
          <w:b/>
          <w:color w:val="0070C0"/>
          <w:sz w:val="28"/>
          <w:lang w:val="en-US" w:eastAsia="zh-CN"/>
        </w:rPr>
        <w:t>4、撤展：</w:t>
      </w:r>
      <w:r>
        <w:rPr>
          <w:rFonts w:hint="eastAsia" w:ascii="宋体" w:hAnsi="宋体" w:eastAsia="宋体" w:cs="宋体"/>
          <w:color w:val="auto"/>
          <w:sz w:val="28"/>
          <w:lang w:val="en-US" w:eastAsia="zh-CN"/>
        </w:rPr>
        <w:t>负责展览结束后的撤展工作，完成展品展台的拆卸与运输。</w:t>
      </w:r>
    </w:p>
    <w:p w14:paraId="0BAB7756">
      <w:pPr>
        <w:pStyle w:val="4"/>
        <w:rPr>
          <w:rFonts w:hint="eastAsia" w:ascii="宋体" w:hAnsi="宋体" w:eastAsia="宋体" w:cs="宋体"/>
        </w:rPr>
      </w:pPr>
    </w:p>
    <w:p w14:paraId="1B134B02"/>
    <w:p w14:paraId="4E314319"/>
    <w:p w14:paraId="52E7F8D6"/>
    <w:p w14:paraId="28421305"/>
    <w:p w14:paraId="09E0622A"/>
    <w:p w14:paraId="00229358"/>
    <w:p w14:paraId="497B3F48">
      <w:pPr>
        <w:pStyle w:val="3"/>
        <w:rPr>
          <w:rFonts w:hint="eastAsia" w:ascii="宋体" w:hAnsi="宋体" w:eastAsia="宋体" w:cs="宋体"/>
          <w:sz w:val="30"/>
        </w:rPr>
      </w:pPr>
      <w:r>
        <w:rPr>
          <w:rFonts w:ascii="宋体" w:hAnsi="宋体" w:eastAsia="宋体" w:cs="宋体"/>
          <w:sz w:val="30"/>
        </w:rPr>
        <w:t>三、费用预算及付款方式</w:t>
      </w:r>
    </w:p>
    <w:p w14:paraId="18377C5C">
      <w:pPr>
        <w:snapToGrid w:val="0"/>
        <w:spacing w:before="0" w:after="0" w:line="360" w:lineRule="auto"/>
        <w:rPr>
          <w:rFonts w:hint="eastAsia" w:ascii="宋体" w:hAnsi="宋体" w:eastAsia="宋体" w:cs="宋体"/>
          <w:b/>
          <w:color w:val="000000"/>
          <w:sz w:val="28"/>
        </w:rPr>
      </w:pPr>
      <w:r>
        <w:rPr>
          <w:rFonts w:ascii="宋体" w:hAnsi="宋体" w:eastAsia="宋体" w:cs="宋体"/>
          <w:b/>
          <w:color w:val="000000"/>
          <w:sz w:val="28"/>
        </w:rPr>
        <w:t>1、预算：共计</w:t>
      </w:r>
      <w:r>
        <w:rPr>
          <w:rFonts w:hint="eastAsia" w:ascii="宋体" w:hAnsi="宋体" w:eastAsia="宋体" w:cs="宋体"/>
          <w:b/>
          <w:color w:val="000000"/>
          <w:sz w:val="28"/>
          <w:lang w:val="en-US" w:eastAsia="zh-CN"/>
        </w:rPr>
        <w:t>25</w:t>
      </w:r>
      <w:r>
        <w:rPr>
          <w:rFonts w:ascii="宋体" w:hAnsi="宋体" w:eastAsia="宋体" w:cs="宋体"/>
          <w:b/>
          <w:color w:val="000000"/>
          <w:sz w:val="28"/>
        </w:rPr>
        <w:t>万</w:t>
      </w:r>
    </w:p>
    <w:p w14:paraId="23AA9710">
      <w:pPr>
        <w:numPr>
          <w:ilvl w:val="0"/>
          <w:numId w:val="1"/>
        </w:numPr>
        <w:snapToGrid w:val="0"/>
        <w:spacing w:before="0" w:after="0" w:line="360" w:lineRule="auto"/>
        <w:rPr>
          <w:rFonts w:hint="eastAsia" w:ascii="宋体" w:hAnsi="宋体" w:eastAsia="宋体" w:cs="宋体"/>
          <w:color w:val="auto"/>
          <w:sz w:val="28"/>
        </w:rPr>
      </w:pPr>
      <w:r>
        <w:rPr>
          <w:rFonts w:ascii="宋体" w:hAnsi="宋体" w:eastAsia="宋体" w:cs="宋体"/>
          <w:b/>
          <w:color w:val="000000"/>
          <w:sz w:val="28"/>
        </w:rPr>
        <w:t>费用构成：</w:t>
      </w:r>
      <w:r>
        <w:rPr>
          <w:rFonts w:hint="eastAsia" w:ascii="宋体" w:hAnsi="宋体" w:eastAsia="宋体" w:cs="宋体"/>
          <w:b/>
          <w:color w:val="000000"/>
          <w:sz w:val="28"/>
          <w:lang w:val="en-US" w:eastAsia="zh-CN"/>
        </w:rPr>
        <w:t>展览设计方案；展项、展墙、展台等施工制作费用；布展、撤展人工费用；布展辅材费用等。</w:t>
      </w:r>
    </w:p>
    <w:p w14:paraId="6271F8C8">
      <w:pPr>
        <w:numPr>
          <w:ilvl w:val="0"/>
          <w:numId w:val="1"/>
        </w:numPr>
        <w:spacing w:before="0" w:after="0" w:line="360" w:lineRule="auto"/>
      </w:pPr>
      <w:r>
        <w:rPr>
          <w:rFonts w:ascii="宋体" w:hAnsi="宋体" w:eastAsia="宋体" w:cs="宋体"/>
          <w:color w:val="000000"/>
          <w:sz w:val="28"/>
        </w:rPr>
        <w:t>除非本招标文件合同条款另有约定，否则投标方所提交的标书就是一个固定不变的包干价。</w:t>
      </w:r>
    </w:p>
    <w:p w14:paraId="496204CB">
      <w:pPr>
        <w:numPr>
          <w:ilvl w:val="0"/>
          <w:numId w:val="1"/>
        </w:numPr>
        <w:spacing w:before="0" w:after="0" w:line="360" w:lineRule="auto"/>
      </w:pPr>
      <w:r>
        <w:rPr>
          <w:rFonts w:ascii="宋体" w:hAnsi="宋体" w:eastAsia="宋体" w:cs="宋体"/>
          <w:color w:val="000000"/>
          <w:sz w:val="28"/>
        </w:rPr>
        <w:t>投标方应保证其报价的充分性、完备性和合理符合性，任何情况下，报价清单中各项目的报价属于投标方自身的风险，南七不接受任何由于投标方以组价不当（包括但不限于工作内容理解的偏差、市场价格的判断、取费等）为由而提出的任何索赔。</w:t>
      </w:r>
    </w:p>
    <w:p w14:paraId="505ECE6A">
      <w:pPr>
        <w:snapToGrid w:val="0"/>
        <w:spacing w:before="0" w:after="0" w:line="360" w:lineRule="auto"/>
        <w:rPr>
          <w:rFonts w:hint="eastAsia" w:ascii="宋体" w:hAnsi="宋体" w:eastAsia="宋体" w:cs="宋体"/>
          <w:b/>
          <w:color w:val="000000"/>
          <w:sz w:val="28"/>
        </w:rPr>
      </w:pPr>
      <w:r>
        <w:rPr>
          <w:rFonts w:ascii="宋体" w:hAnsi="宋体" w:eastAsia="宋体" w:cs="宋体"/>
          <w:b/>
          <w:color w:val="000000"/>
          <w:sz w:val="28"/>
        </w:rPr>
        <w:t>2、付款方式：</w:t>
      </w:r>
    </w:p>
    <w:p w14:paraId="60219D36">
      <w:pPr>
        <w:numPr>
          <w:ilvl w:val="0"/>
          <w:numId w:val="2"/>
        </w:numPr>
        <w:snapToGrid w:val="0"/>
        <w:spacing w:before="0" w:after="0" w:line="360" w:lineRule="auto"/>
        <w:rPr>
          <w:rFonts w:hint="eastAsia" w:ascii="宋体" w:hAnsi="宋体" w:eastAsia="宋体" w:cs="宋体"/>
          <w:color w:val="000000"/>
          <w:sz w:val="28"/>
        </w:rPr>
      </w:pPr>
      <w:r>
        <w:rPr>
          <w:rFonts w:ascii="宋体" w:hAnsi="宋体" w:eastAsia="宋体" w:cs="宋体"/>
          <w:color w:val="000000"/>
          <w:sz w:val="28"/>
        </w:rPr>
        <w:t>标书中的所有价格和汇率必须清晰地表明价格的币种。只有以下币种才能采用：人民币。</w:t>
      </w:r>
    </w:p>
    <w:p w14:paraId="0498FF41">
      <w:pPr>
        <w:numPr>
          <w:ilvl w:val="0"/>
          <w:numId w:val="2"/>
        </w:numPr>
        <w:snapToGrid w:val="0"/>
        <w:spacing w:before="0" w:after="0" w:line="360" w:lineRule="auto"/>
      </w:pPr>
      <w:r>
        <w:rPr>
          <w:rFonts w:ascii="宋体" w:hAnsi="宋体" w:eastAsia="宋体" w:cs="宋体"/>
          <w:color w:val="000000"/>
          <w:sz w:val="28"/>
        </w:rPr>
        <w:t>付款方式按项目进度安排，项目启动前支付合同总价的50%作为首款，项目结束验收通过后支付剩余50%合同款项。每次付款前需提供合规且等额的增值税普通发票。</w:t>
      </w:r>
    </w:p>
    <w:p w14:paraId="7C8523E5">
      <w:pPr>
        <w:snapToGrid w:val="0"/>
        <w:spacing w:before="0" w:after="0" w:line="360" w:lineRule="auto"/>
        <w:rPr>
          <w:rFonts w:hint="eastAsia" w:ascii="宋体" w:hAnsi="宋体" w:eastAsia="宋体" w:cs="宋体"/>
          <w:sz w:val="28"/>
        </w:rPr>
      </w:pPr>
    </w:p>
    <w:p w14:paraId="1ABF0CBE">
      <w:pPr>
        <w:pStyle w:val="3"/>
        <w:rPr>
          <w:rFonts w:hint="eastAsia" w:ascii="宋体" w:hAnsi="宋体" w:eastAsia="宋体" w:cs="宋体"/>
          <w:sz w:val="30"/>
        </w:rPr>
      </w:pPr>
      <w:r>
        <w:rPr>
          <w:rFonts w:ascii="宋体" w:hAnsi="宋体" w:eastAsia="宋体" w:cs="宋体"/>
          <w:sz w:val="30"/>
        </w:rPr>
        <w:t>四、供应商资质要求</w:t>
      </w:r>
    </w:p>
    <w:p w14:paraId="2E5894F0">
      <w:pPr>
        <w:spacing w:before="0" w:after="120"/>
        <w:jc w:val="left"/>
        <w:rPr>
          <w:rFonts w:hint="eastAsia" w:ascii="宋体" w:hAnsi="宋体" w:eastAsia="宋体" w:cs="宋体"/>
          <w:sz w:val="28"/>
        </w:rPr>
      </w:pPr>
      <w:r>
        <w:rPr>
          <w:rFonts w:ascii="宋体" w:hAnsi="宋体" w:eastAsia="宋体" w:cs="宋体"/>
          <w:color w:val="auto"/>
          <w:sz w:val="28"/>
        </w:rPr>
        <w:t>1、具有独立法人资格，营业执照经营范围涵盖</w:t>
      </w:r>
      <w:r>
        <w:rPr>
          <w:rFonts w:hint="eastAsia" w:ascii="宋体" w:hAnsi="宋体" w:eastAsia="宋体" w:cs="宋体"/>
          <w:color w:val="auto"/>
          <w:sz w:val="28"/>
          <w:lang w:val="en-US" w:eastAsia="zh-CN"/>
        </w:rPr>
        <w:t>展览</w:t>
      </w:r>
      <w:r>
        <w:rPr>
          <w:rFonts w:ascii="宋体" w:hAnsi="宋体" w:eastAsia="宋体" w:cs="宋体"/>
          <w:color w:val="auto"/>
          <w:sz w:val="28"/>
        </w:rPr>
        <w:t>策划、广告设计制作、</w:t>
      </w:r>
      <w:r>
        <w:rPr>
          <w:rFonts w:hint="eastAsia" w:ascii="宋体" w:hAnsi="宋体" w:eastAsia="宋体" w:cs="宋体"/>
          <w:color w:val="auto"/>
          <w:sz w:val="28"/>
          <w:lang w:val="en-US" w:eastAsia="zh-CN"/>
        </w:rPr>
        <w:t>建设工程设计、建设工程施工、</w:t>
      </w:r>
      <w:r>
        <w:rPr>
          <w:rFonts w:ascii="宋体" w:hAnsi="宋体" w:eastAsia="宋体" w:cs="宋体"/>
          <w:color w:val="auto"/>
          <w:sz w:val="28"/>
        </w:rPr>
        <w:t>文化</w:t>
      </w:r>
      <w:r>
        <w:rPr>
          <w:rFonts w:hint="eastAsia" w:ascii="宋体" w:hAnsi="宋体" w:eastAsia="宋体" w:cs="宋体"/>
          <w:color w:val="auto"/>
          <w:sz w:val="28"/>
          <w:lang w:val="en-US" w:eastAsia="zh-CN"/>
        </w:rPr>
        <w:t>场馆服务管理</w:t>
      </w:r>
      <w:r>
        <w:rPr>
          <w:rFonts w:ascii="宋体" w:hAnsi="宋体" w:eastAsia="宋体" w:cs="宋体"/>
          <w:color w:val="auto"/>
          <w:sz w:val="28"/>
        </w:rPr>
        <w:t>等相关业务。</w:t>
      </w:r>
    </w:p>
    <w:p w14:paraId="175692B5">
      <w:pPr>
        <w:spacing w:before="120" w:after="120"/>
        <w:jc w:val="left"/>
        <w:rPr>
          <w:rFonts w:hint="eastAsia" w:ascii="宋体" w:hAnsi="宋体" w:eastAsia="宋体" w:cs="宋体"/>
          <w:sz w:val="28"/>
        </w:rPr>
      </w:pPr>
      <w:r>
        <w:rPr>
          <w:rFonts w:ascii="宋体" w:hAnsi="宋体" w:eastAsia="宋体" w:cs="宋体"/>
          <w:color w:val="auto"/>
          <w:sz w:val="28"/>
        </w:rPr>
        <w:t>2、近 3 年内有类似大型活动（如</w:t>
      </w:r>
      <w:r>
        <w:rPr>
          <w:rFonts w:hint="eastAsia" w:ascii="宋体" w:hAnsi="宋体" w:eastAsia="宋体" w:cs="宋体"/>
          <w:color w:val="auto"/>
          <w:sz w:val="28"/>
          <w:lang w:val="en-US" w:eastAsia="zh-CN"/>
        </w:rPr>
        <w:t>短期临展、科技馆/博物馆展览、展会</w:t>
      </w:r>
      <w:r>
        <w:rPr>
          <w:rFonts w:ascii="宋体" w:hAnsi="宋体" w:eastAsia="宋体" w:cs="宋体"/>
          <w:color w:val="auto"/>
          <w:sz w:val="28"/>
        </w:rPr>
        <w:t>等）的策划、执行经验，需提供相关案例证明材料，案例应体现活动的规模、创意、执行效果等方面的优势。</w:t>
      </w:r>
    </w:p>
    <w:p w14:paraId="6F46E339">
      <w:pPr>
        <w:spacing w:before="120" w:after="120"/>
        <w:jc w:val="left"/>
        <w:rPr>
          <w:rFonts w:hint="eastAsia" w:ascii="宋体" w:hAnsi="宋体" w:eastAsia="宋体" w:cs="宋体"/>
          <w:sz w:val="28"/>
        </w:rPr>
      </w:pPr>
      <w:r>
        <w:rPr>
          <w:rFonts w:ascii="宋体" w:hAnsi="宋体" w:eastAsia="宋体" w:cs="宋体"/>
          <w:color w:val="auto"/>
          <w:sz w:val="28"/>
        </w:rPr>
        <w:t>3、拥有专业的策划、设计、执行团队，团队成员具备丰富的活动经验和专业技能，包括</w:t>
      </w:r>
      <w:r>
        <w:rPr>
          <w:rFonts w:hint="eastAsia" w:ascii="宋体" w:hAnsi="宋体" w:eastAsia="宋体" w:cs="宋体"/>
          <w:color w:val="auto"/>
          <w:sz w:val="28"/>
          <w:lang w:val="en-US" w:eastAsia="zh-CN"/>
        </w:rPr>
        <w:t>展览</w:t>
      </w:r>
      <w:r>
        <w:rPr>
          <w:rFonts w:ascii="宋体" w:hAnsi="宋体" w:eastAsia="宋体" w:cs="宋体"/>
          <w:color w:val="auto"/>
          <w:sz w:val="28"/>
        </w:rPr>
        <w:t>策划师、</w:t>
      </w:r>
      <w:r>
        <w:rPr>
          <w:rFonts w:hint="eastAsia" w:ascii="宋体" w:hAnsi="宋体" w:eastAsia="宋体" w:cs="宋体"/>
          <w:color w:val="auto"/>
          <w:sz w:val="28"/>
          <w:lang w:val="en-US" w:eastAsia="zh-CN"/>
        </w:rPr>
        <w:t>空间</w:t>
      </w:r>
      <w:r>
        <w:rPr>
          <w:rFonts w:ascii="宋体" w:hAnsi="宋体" w:eastAsia="宋体" w:cs="宋体"/>
          <w:color w:val="auto"/>
          <w:sz w:val="28"/>
        </w:rPr>
        <w:t>设计师</w:t>
      </w:r>
      <w:r>
        <w:rPr>
          <w:rFonts w:hint="eastAsia" w:ascii="宋体" w:hAnsi="宋体" w:eastAsia="宋体" w:cs="宋体"/>
          <w:color w:val="auto"/>
          <w:sz w:val="28"/>
          <w:lang w:eastAsia="zh-CN"/>
        </w:rPr>
        <w:t>、</w:t>
      </w:r>
      <w:r>
        <w:rPr>
          <w:rFonts w:hint="eastAsia" w:ascii="宋体" w:hAnsi="宋体" w:eastAsia="宋体" w:cs="宋体"/>
          <w:color w:val="auto"/>
          <w:sz w:val="28"/>
          <w:lang w:val="en-US" w:eastAsia="zh-CN"/>
        </w:rPr>
        <w:t>工程设计师</w:t>
      </w:r>
      <w:r>
        <w:rPr>
          <w:rFonts w:ascii="宋体" w:hAnsi="宋体" w:eastAsia="宋体" w:cs="宋体"/>
          <w:color w:val="auto"/>
          <w:sz w:val="28"/>
        </w:rPr>
        <w:t>等，能够确保</w:t>
      </w:r>
      <w:r>
        <w:rPr>
          <w:rFonts w:hint="eastAsia" w:ascii="宋体" w:hAnsi="宋体" w:eastAsia="宋体" w:cs="宋体"/>
          <w:color w:val="auto"/>
          <w:sz w:val="28"/>
          <w:lang w:val="en-US" w:eastAsia="zh-CN"/>
        </w:rPr>
        <w:t>项目</w:t>
      </w:r>
      <w:r>
        <w:rPr>
          <w:rFonts w:ascii="宋体" w:hAnsi="宋体" w:eastAsia="宋体" w:cs="宋体"/>
          <w:color w:val="auto"/>
          <w:sz w:val="28"/>
        </w:rPr>
        <w:t>的各个环节顺利进行。</w:t>
      </w:r>
    </w:p>
    <w:p w14:paraId="0D87E7C3">
      <w:pPr>
        <w:spacing w:before="120" w:after="120"/>
        <w:jc w:val="left"/>
        <w:rPr>
          <w:rFonts w:hint="eastAsia" w:ascii="宋体" w:hAnsi="宋体" w:eastAsia="宋体" w:cs="宋体"/>
          <w:sz w:val="28"/>
        </w:rPr>
      </w:pPr>
      <w:r>
        <w:rPr>
          <w:rFonts w:ascii="宋体" w:hAnsi="宋体" w:eastAsia="宋体" w:cs="宋体"/>
          <w:color w:val="auto"/>
          <w:sz w:val="28"/>
        </w:rPr>
        <w:t>4、具备完善的售后服务体系，能够及时响应并解决</w:t>
      </w:r>
      <w:r>
        <w:rPr>
          <w:rFonts w:hint="eastAsia" w:ascii="宋体" w:hAnsi="宋体" w:eastAsia="宋体" w:cs="宋体"/>
          <w:color w:val="auto"/>
          <w:sz w:val="28"/>
          <w:lang w:val="en-US" w:eastAsia="zh-CN"/>
        </w:rPr>
        <w:t>项目</w:t>
      </w:r>
      <w:r>
        <w:rPr>
          <w:rFonts w:ascii="宋体" w:hAnsi="宋体" w:eastAsia="宋体" w:cs="宋体"/>
          <w:color w:val="auto"/>
          <w:sz w:val="28"/>
        </w:rPr>
        <w:t>中出现的问题，在</w:t>
      </w:r>
      <w:r>
        <w:rPr>
          <w:rFonts w:hint="eastAsia" w:ascii="宋体" w:hAnsi="宋体" w:eastAsia="宋体" w:cs="宋体"/>
          <w:color w:val="auto"/>
          <w:sz w:val="28"/>
          <w:lang w:val="en-US" w:eastAsia="zh-CN"/>
        </w:rPr>
        <w:t>项目</w:t>
      </w:r>
      <w:r>
        <w:rPr>
          <w:rFonts w:ascii="宋体" w:hAnsi="宋体" w:eastAsia="宋体" w:cs="宋体"/>
          <w:color w:val="auto"/>
          <w:sz w:val="28"/>
        </w:rPr>
        <w:t>结束后，根据主办方的反馈意见，积极配合进行总结和改进，为后续</w:t>
      </w:r>
      <w:r>
        <w:rPr>
          <w:rFonts w:hint="eastAsia" w:ascii="宋体" w:hAnsi="宋体" w:eastAsia="宋体" w:cs="宋体"/>
          <w:color w:val="auto"/>
          <w:sz w:val="28"/>
          <w:lang w:val="en-US" w:eastAsia="zh-CN"/>
        </w:rPr>
        <w:t>项目</w:t>
      </w:r>
      <w:r>
        <w:rPr>
          <w:rFonts w:ascii="宋体" w:hAnsi="宋体" w:eastAsia="宋体" w:cs="宋体"/>
          <w:color w:val="auto"/>
          <w:sz w:val="28"/>
        </w:rPr>
        <w:t>提供参考。</w:t>
      </w:r>
    </w:p>
    <w:p w14:paraId="31D2E69A">
      <w:pPr>
        <w:spacing w:before="120" w:after="120"/>
        <w:jc w:val="left"/>
        <w:rPr>
          <w:rFonts w:hint="eastAsia" w:ascii="宋体" w:hAnsi="宋体" w:eastAsia="宋体" w:cs="宋体"/>
          <w:color w:val="auto"/>
          <w:sz w:val="28"/>
        </w:rPr>
      </w:pPr>
      <w:r>
        <w:rPr>
          <w:rFonts w:ascii="宋体" w:hAnsi="宋体" w:eastAsia="宋体" w:cs="宋体"/>
          <w:color w:val="auto"/>
          <w:sz w:val="28"/>
        </w:rPr>
        <w:t>5、具有良好的商业信誉。无不良经营记录，提供相关证明材料。在以往的商业合作中，无违约、欺诈等不良行为，遵守法律法规和商业道德规范。</w:t>
      </w:r>
    </w:p>
    <w:p w14:paraId="02E575B8">
      <w:pPr>
        <w:spacing w:before="120" w:after="120"/>
        <w:jc w:val="left"/>
        <w:rPr>
          <w:rFonts w:hint="eastAsia" w:ascii="宋体" w:hAnsi="宋体" w:eastAsia="宋体" w:cs="宋体"/>
          <w:sz w:val="28"/>
        </w:rPr>
      </w:pPr>
    </w:p>
    <w:p w14:paraId="37E1CA2B">
      <w:pPr>
        <w:pStyle w:val="3"/>
        <w:rPr>
          <w:rFonts w:hint="eastAsia" w:ascii="宋体" w:hAnsi="宋体" w:eastAsia="宋体" w:cs="宋体"/>
          <w:sz w:val="30"/>
        </w:rPr>
      </w:pPr>
      <w:r>
        <w:rPr>
          <w:rFonts w:ascii="宋体" w:hAnsi="宋体" w:eastAsia="宋体" w:cs="宋体"/>
          <w:sz w:val="30"/>
        </w:rPr>
        <w:t>五、投标文件要求</w:t>
      </w:r>
    </w:p>
    <w:p w14:paraId="6C15A18C">
      <w:pPr>
        <w:pStyle w:val="4"/>
        <w:rPr>
          <w:rFonts w:hint="eastAsia" w:ascii="宋体" w:hAnsi="宋体" w:eastAsia="宋体" w:cs="宋体"/>
        </w:rPr>
      </w:pPr>
      <w:r>
        <w:rPr>
          <w:rFonts w:ascii="宋体" w:hAnsi="宋体" w:eastAsia="宋体" w:cs="宋体"/>
        </w:rPr>
        <w:t>1.技术文件</w:t>
      </w:r>
    </w:p>
    <w:p w14:paraId="14E3651C">
      <w:pPr>
        <w:spacing w:before="120" w:after="120"/>
        <w:jc w:val="left"/>
        <w:rPr>
          <w:rFonts w:hint="eastAsia" w:ascii="宋体" w:hAnsi="宋体" w:eastAsia="宋体" w:cs="宋体"/>
          <w:sz w:val="28"/>
        </w:rPr>
      </w:pPr>
      <w:r>
        <w:rPr>
          <w:rFonts w:ascii="宋体" w:hAnsi="宋体" w:eastAsia="宋体" w:cs="宋体"/>
          <w:b/>
          <w:color w:val="auto"/>
          <w:sz w:val="28"/>
        </w:rPr>
        <w:t>a. 本次</w:t>
      </w:r>
      <w:r>
        <w:rPr>
          <w:rFonts w:hint="eastAsia" w:ascii="宋体" w:hAnsi="宋体" w:eastAsia="宋体" w:cs="宋体"/>
          <w:b/>
          <w:color w:val="auto"/>
          <w:sz w:val="28"/>
          <w:lang w:val="en-US" w:eastAsia="zh-CN"/>
        </w:rPr>
        <w:t>展览全案策划</w:t>
      </w:r>
      <w:r>
        <w:rPr>
          <w:rFonts w:ascii="宋体" w:hAnsi="宋体" w:eastAsia="宋体" w:cs="宋体"/>
          <w:b/>
          <w:color w:val="auto"/>
          <w:sz w:val="28"/>
        </w:rPr>
        <w:t>方案1份：</w:t>
      </w:r>
      <w:r>
        <w:rPr>
          <w:rFonts w:ascii="宋体" w:hAnsi="宋体" w:eastAsia="宋体" w:cs="宋体"/>
          <w:color w:val="auto"/>
          <w:sz w:val="28"/>
        </w:rPr>
        <w:t>针对各项招标需求，详细阐述</w:t>
      </w:r>
      <w:r>
        <w:rPr>
          <w:rFonts w:hint="eastAsia" w:ascii="宋体" w:hAnsi="宋体" w:eastAsia="宋体" w:cs="宋体"/>
          <w:color w:val="auto"/>
          <w:sz w:val="28"/>
          <w:lang w:val="en-US" w:eastAsia="zh-CN"/>
        </w:rPr>
        <w:t>展览设计</w:t>
      </w:r>
      <w:r>
        <w:rPr>
          <w:rFonts w:ascii="宋体" w:hAnsi="宋体" w:eastAsia="宋体" w:cs="宋体"/>
          <w:color w:val="auto"/>
          <w:sz w:val="28"/>
        </w:rPr>
        <w:t>方案，包括场地规划布局、</w:t>
      </w:r>
      <w:r>
        <w:rPr>
          <w:rFonts w:hint="eastAsia" w:ascii="宋体" w:hAnsi="宋体" w:eastAsia="宋体" w:cs="宋体"/>
          <w:color w:val="auto"/>
          <w:sz w:val="28"/>
          <w:lang w:val="en-US" w:eastAsia="zh-CN"/>
        </w:rPr>
        <w:t>展览展示大纲、设计理念与思路、空间分析与平面布局、参观动线、展项设计</w:t>
      </w:r>
      <w:r>
        <w:rPr>
          <w:rFonts w:ascii="宋体" w:hAnsi="宋体" w:eastAsia="宋体" w:cs="宋体"/>
          <w:color w:val="auto"/>
          <w:sz w:val="28"/>
        </w:rPr>
        <w:t>、搭建实施方案、</w:t>
      </w:r>
      <w:r>
        <w:rPr>
          <w:rFonts w:hint="eastAsia" w:ascii="宋体" w:hAnsi="宋体" w:eastAsia="宋体" w:cs="宋体"/>
          <w:color w:val="auto"/>
          <w:sz w:val="28"/>
          <w:lang w:val="en-US" w:eastAsia="zh-CN"/>
        </w:rPr>
        <w:t>项目实施</w:t>
      </w:r>
      <w:r>
        <w:rPr>
          <w:rFonts w:ascii="宋体" w:hAnsi="宋体" w:eastAsia="宋体" w:cs="宋体"/>
          <w:color w:val="auto"/>
          <w:sz w:val="28"/>
        </w:rPr>
        <w:t>流程、人员安排计划、安全保障措施等，确保方案具有可行性、创新性和完整性。</w:t>
      </w:r>
    </w:p>
    <w:p w14:paraId="72AA905A">
      <w:pPr>
        <w:spacing w:before="120" w:after="0"/>
        <w:jc w:val="left"/>
        <w:rPr>
          <w:rFonts w:hint="eastAsia" w:ascii="宋体" w:hAnsi="宋体" w:eastAsia="宋体" w:cs="宋体"/>
          <w:sz w:val="28"/>
        </w:rPr>
      </w:pPr>
      <w:r>
        <w:rPr>
          <w:rFonts w:ascii="宋体" w:hAnsi="宋体" w:eastAsia="宋体" w:cs="宋体"/>
          <w:b/>
          <w:color w:val="auto"/>
          <w:sz w:val="28"/>
        </w:rPr>
        <w:t xml:space="preserve">b. </w:t>
      </w:r>
      <w:r>
        <w:rPr>
          <w:rFonts w:hint="eastAsia" w:ascii="宋体" w:hAnsi="宋体" w:eastAsia="宋体" w:cs="宋体"/>
          <w:b/>
          <w:color w:val="auto"/>
          <w:sz w:val="28"/>
          <w:lang w:val="en-US" w:eastAsia="zh-CN"/>
        </w:rPr>
        <w:t>施工</w:t>
      </w:r>
      <w:r>
        <w:rPr>
          <w:rFonts w:ascii="宋体" w:hAnsi="宋体" w:eastAsia="宋体" w:cs="宋体"/>
          <w:b/>
          <w:color w:val="auto"/>
          <w:sz w:val="28"/>
        </w:rPr>
        <w:t>方案1份：</w:t>
      </w:r>
      <w:r>
        <w:rPr>
          <w:rFonts w:hint="eastAsia" w:ascii="宋体" w:hAnsi="宋体" w:eastAsia="宋体" w:cs="宋体"/>
          <w:b w:val="0"/>
          <w:bCs/>
          <w:color w:val="auto"/>
          <w:sz w:val="28"/>
          <w:lang w:val="en-US" w:eastAsia="zh-CN"/>
        </w:rPr>
        <w:t>在</w:t>
      </w:r>
      <w:r>
        <w:rPr>
          <w:rFonts w:hint="eastAsia" w:ascii="宋体" w:hAnsi="宋体" w:eastAsia="宋体" w:cs="宋体"/>
          <w:color w:val="auto"/>
          <w:sz w:val="28"/>
          <w:lang w:val="en-US" w:eastAsia="zh-CN"/>
        </w:rPr>
        <w:t>上海图书馆东馆5F展区</w:t>
      </w:r>
      <w:r>
        <w:rPr>
          <w:rFonts w:ascii="宋体" w:hAnsi="宋体" w:eastAsia="宋体" w:cs="宋体"/>
          <w:color w:val="auto"/>
          <w:sz w:val="28"/>
        </w:rPr>
        <w:t>搭建的</w:t>
      </w:r>
      <w:r>
        <w:rPr>
          <w:rFonts w:hint="eastAsia" w:ascii="宋体" w:hAnsi="宋体" w:eastAsia="宋体" w:cs="宋体"/>
          <w:color w:val="auto"/>
          <w:sz w:val="28"/>
          <w:lang w:val="en-US" w:eastAsia="zh-CN"/>
        </w:rPr>
        <w:t>施工设计</w:t>
      </w:r>
      <w:r>
        <w:rPr>
          <w:rFonts w:ascii="宋体" w:hAnsi="宋体" w:eastAsia="宋体" w:cs="宋体"/>
          <w:color w:val="auto"/>
          <w:sz w:val="28"/>
        </w:rPr>
        <w:t>图、</w:t>
      </w:r>
      <w:r>
        <w:rPr>
          <w:rFonts w:hint="eastAsia" w:ascii="宋体" w:hAnsi="宋体" w:eastAsia="宋体" w:cs="宋体"/>
          <w:color w:val="auto"/>
          <w:sz w:val="28"/>
          <w:lang w:val="en-US" w:eastAsia="zh-CN"/>
        </w:rPr>
        <w:t>水电线路图等相关文件</w:t>
      </w:r>
      <w:r>
        <w:rPr>
          <w:rFonts w:ascii="宋体" w:hAnsi="宋体" w:eastAsia="宋体" w:cs="宋体"/>
          <w:color w:val="auto"/>
          <w:sz w:val="28"/>
        </w:rPr>
        <w:t>。</w:t>
      </w:r>
    </w:p>
    <w:p w14:paraId="43BCA48B"/>
    <w:p w14:paraId="37014B8D">
      <w:pPr>
        <w:pStyle w:val="4"/>
        <w:rPr>
          <w:rFonts w:hint="eastAsia" w:ascii="宋体" w:hAnsi="宋体" w:eastAsia="宋体" w:cs="宋体"/>
        </w:rPr>
      </w:pPr>
      <w:r>
        <w:rPr>
          <w:rFonts w:ascii="宋体" w:hAnsi="宋体" w:eastAsia="宋体" w:cs="宋体"/>
        </w:rPr>
        <w:t>2.商务文件：</w:t>
      </w:r>
    </w:p>
    <w:p w14:paraId="47BC3F02">
      <w:pPr>
        <w:spacing w:before="0" w:after="120"/>
        <w:jc w:val="left"/>
        <w:rPr>
          <w:rFonts w:hint="eastAsia" w:ascii="宋体" w:hAnsi="宋体" w:eastAsia="宋体" w:cs="宋体"/>
          <w:color w:val="auto"/>
          <w:sz w:val="28"/>
        </w:rPr>
      </w:pPr>
      <w:r>
        <w:rPr>
          <w:rFonts w:ascii="宋体" w:hAnsi="宋体" w:eastAsia="宋体" w:cs="宋体"/>
          <w:color w:val="auto"/>
          <w:sz w:val="28"/>
        </w:rPr>
        <w:t xml:space="preserve">a. </w:t>
      </w:r>
      <w:r>
        <w:rPr>
          <w:rFonts w:ascii="宋体" w:hAnsi="宋体" w:eastAsia="宋体" w:cs="宋体"/>
          <w:b/>
          <w:color w:val="auto"/>
          <w:sz w:val="28"/>
        </w:rPr>
        <w:t>企业营业执照副本复印件：</w:t>
      </w:r>
      <w:r>
        <w:rPr>
          <w:rFonts w:ascii="宋体" w:hAnsi="宋体" w:eastAsia="宋体" w:cs="宋体"/>
          <w:color w:val="auto"/>
          <w:sz w:val="28"/>
        </w:rPr>
        <w:t>1份</w:t>
      </w:r>
    </w:p>
    <w:p w14:paraId="1BCA00F4">
      <w:pPr>
        <w:spacing w:before="0" w:after="0" w:line="360" w:lineRule="auto"/>
        <w:rPr>
          <w:rFonts w:hint="eastAsia" w:ascii="宋体" w:hAnsi="宋体" w:eastAsia="宋体" w:cs="宋体"/>
          <w:color w:val="auto"/>
          <w:sz w:val="28"/>
        </w:rPr>
      </w:pPr>
      <w:r>
        <w:rPr>
          <w:rFonts w:ascii="宋体" w:hAnsi="宋体" w:eastAsia="宋体" w:cs="宋体"/>
          <w:color w:val="auto"/>
          <w:sz w:val="28"/>
        </w:rPr>
        <w:t xml:space="preserve">b. </w:t>
      </w:r>
      <w:r>
        <w:rPr>
          <w:rFonts w:ascii="宋体" w:hAnsi="宋体" w:eastAsia="宋体" w:cs="宋体"/>
          <w:b/>
          <w:color w:val="auto"/>
          <w:sz w:val="28"/>
        </w:rPr>
        <w:t>法定代表人资格证明书：</w:t>
      </w:r>
      <w:r>
        <w:rPr>
          <w:rFonts w:ascii="宋体" w:hAnsi="宋体" w:eastAsia="宋体" w:cs="宋体"/>
          <w:color w:val="auto"/>
          <w:sz w:val="28"/>
        </w:rPr>
        <w:t>1份（文件见附件二）</w:t>
      </w:r>
      <w:r>
        <w:rPr>
          <w:rFonts w:ascii="宋体" w:hAnsi="宋体" w:eastAsia="宋体" w:cs="宋体"/>
          <w:b/>
          <w:color w:val="auto"/>
          <w:sz w:val="28"/>
        </w:rPr>
        <w:t>；法定代表人身份证复印件资料：</w:t>
      </w:r>
      <w:r>
        <w:rPr>
          <w:rFonts w:ascii="宋体" w:hAnsi="宋体" w:eastAsia="宋体" w:cs="宋体"/>
          <w:color w:val="auto"/>
          <w:sz w:val="28"/>
        </w:rPr>
        <w:t>1份</w:t>
      </w:r>
    </w:p>
    <w:p w14:paraId="2F934039">
      <w:pPr>
        <w:spacing w:before="0" w:after="120"/>
        <w:jc w:val="left"/>
        <w:rPr>
          <w:rFonts w:hint="eastAsia" w:ascii="宋体" w:hAnsi="宋体" w:eastAsia="宋体" w:cs="宋体"/>
          <w:color w:val="auto"/>
          <w:sz w:val="28"/>
        </w:rPr>
      </w:pPr>
      <w:r>
        <w:rPr>
          <w:rFonts w:ascii="宋体" w:hAnsi="宋体" w:eastAsia="宋体" w:cs="宋体"/>
          <w:color w:val="auto"/>
          <w:sz w:val="28"/>
        </w:rPr>
        <w:t xml:space="preserve">c. </w:t>
      </w:r>
      <w:r>
        <w:rPr>
          <w:rFonts w:ascii="宋体" w:hAnsi="宋体" w:eastAsia="宋体" w:cs="宋体"/>
          <w:b/>
          <w:color w:val="auto"/>
          <w:sz w:val="28"/>
        </w:rPr>
        <w:t>投标文件签署授权委托书：</w:t>
      </w:r>
      <w:r>
        <w:rPr>
          <w:rFonts w:ascii="宋体" w:hAnsi="宋体" w:eastAsia="宋体" w:cs="宋体"/>
          <w:color w:val="auto"/>
          <w:sz w:val="28"/>
        </w:rPr>
        <w:t>1份 （文件见附件三）</w:t>
      </w:r>
    </w:p>
    <w:p w14:paraId="3F138B4C">
      <w:pPr>
        <w:spacing w:before="0" w:after="120"/>
        <w:jc w:val="left"/>
        <w:rPr>
          <w:rFonts w:hint="eastAsia" w:ascii="宋体" w:hAnsi="宋体" w:eastAsia="宋体" w:cs="宋体"/>
          <w:color w:val="auto"/>
          <w:sz w:val="28"/>
        </w:rPr>
      </w:pPr>
      <w:r>
        <w:rPr>
          <w:rFonts w:ascii="宋体" w:hAnsi="宋体" w:eastAsia="宋体" w:cs="宋体"/>
          <w:color w:val="auto"/>
          <w:sz w:val="28"/>
        </w:rPr>
        <w:t xml:space="preserve">d. </w:t>
      </w:r>
      <w:r>
        <w:rPr>
          <w:rFonts w:ascii="宋体" w:hAnsi="宋体" w:eastAsia="宋体" w:cs="宋体"/>
          <w:b/>
          <w:color w:val="auto"/>
          <w:sz w:val="28"/>
        </w:rPr>
        <w:t>投标函：</w:t>
      </w:r>
      <w:r>
        <w:rPr>
          <w:rFonts w:ascii="宋体" w:hAnsi="宋体" w:eastAsia="宋体" w:cs="宋体"/>
          <w:color w:val="auto"/>
          <w:sz w:val="28"/>
        </w:rPr>
        <w:t>1份 （文件见附件四）</w:t>
      </w:r>
    </w:p>
    <w:p w14:paraId="6BD3AC1D">
      <w:pPr>
        <w:spacing w:before="0" w:after="120"/>
        <w:jc w:val="left"/>
        <w:rPr>
          <w:rFonts w:hint="eastAsia" w:ascii="宋体" w:hAnsi="宋体" w:eastAsia="宋体" w:cs="宋体"/>
          <w:color w:val="auto"/>
          <w:sz w:val="28"/>
        </w:rPr>
      </w:pPr>
      <w:r>
        <w:rPr>
          <w:rFonts w:ascii="宋体" w:hAnsi="宋体" w:eastAsia="宋体" w:cs="宋体"/>
          <w:color w:val="auto"/>
          <w:sz w:val="28"/>
        </w:rPr>
        <w:t xml:space="preserve">e. </w:t>
      </w:r>
      <w:r>
        <w:rPr>
          <w:rFonts w:ascii="宋体" w:hAnsi="宋体" w:eastAsia="宋体" w:cs="宋体"/>
          <w:b/>
          <w:color w:val="auto"/>
          <w:sz w:val="28"/>
        </w:rPr>
        <w:t>投标承诺书：</w:t>
      </w:r>
      <w:r>
        <w:rPr>
          <w:rFonts w:ascii="宋体" w:hAnsi="宋体" w:eastAsia="宋体" w:cs="宋体"/>
          <w:color w:val="auto"/>
          <w:sz w:val="28"/>
        </w:rPr>
        <w:t>1份（文件见附件</w:t>
      </w:r>
      <w:r>
        <w:rPr>
          <w:rFonts w:hint="eastAsia" w:ascii="宋体" w:hAnsi="宋体" w:eastAsia="宋体" w:cs="宋体"/>
          <w:color w:val="auto"/>
          <w:sz w:val="28"/>
        </w:rPr>
        <w:t>五</w:t>
      </w:r>
      <w:r>
        <w:rPr>
          <w:rFonts w:ascii="宋体" w:hAnsi="宋体" w:eastAsia="宋体" w:cs="宋体"/>
          <w:color w:val="auto"/>
          <w:sz w:val="28"/>
        </w:rPr>
        <w:t>）</w:t>
      </w:r>
    </w:p>
    <w:p w14:paraId="327EB5A5">
      <w:pPr>
        <w:spacing w:before="120" w:after="0"/>
        <w:jc w:val="left"/>
        <w:rPr>
          <w:rFonts w:hint="eastAsia" w:ascii="宋体" w:hAnsi="宋体" w:eastAsia="宋体" w:cs="宋体"/>
          <w:sz w:val="28"/>
        </w:rPr>
      </w:pPr>
      <w:r>
        <w:rPr>
          <w:rFonts w:ascii="宋体" w:hAnsi="宋体" w:eastAsia="宋体" w:cs="宋体"/>
          <w:color w:val="auto"/>
          <w:sz w:val="28"/>
        </w:rPr>
        <w:t xml:space="preserve">f. </w:t>
      </w:r>
      <w:r>
        <w:rPr>
          <w:rFonts w:ascii="宋体" w:hAnsi="宋体" w:eastAsia="宋体" w:cs="宋体"/>
          <w:b/>
          <w:color w:val="auto"/>
          <w:sz w:val="28"/>
        </w:rPr>
        <w:t>国家企业信用信息公示报告：</w:t>
      </w:r>
      <w:r>
        <w:rPr>
          <w:rFonts w:ascii="宋体" w:hAnsi="宋体" w:eastAsia="宋体" w:cs="宋体"/>
          <w:color w:val="auto"/>
          <w:sz w:val="28"/>
        </w:rPr>
        <w:t>1份。通过官方渠道获取，展示企业的信用状况、注册信息、经营异常情况等，证明企业的合法合规经营。</w:t>
      </w:r>
    </w:p>
    <w:p w14:paraId="420B3E01">
      <w:pPr>
        <w:spacing w:before="120" w:after="0"/>
        <w:jc w:val="left"/>
        <w:rPr>
          <w:rFonts w:hint="eastAsia" w:ascii="宋体" w:hAnsi="宋体" w:eastAsia="宋体" w:cs="宋体"/>
          <w:sz w:val="28"/>
        </w:rPr>
      </w:pPr>
      <w:r>
        <w:rPr>
          <w:rFonts w:ascii="宋体" w:hAnsi="宋体" w:eastAsia="宋体" w:cs="宋体"/>
          <w:color w:val="auto"/>
          <w:sz w:val="28"/>
        </w:rPr>
        <w:t xml:space="preserve">g. </w:t>
      </w:r>
      <w:r>
        <w:rPr>
          <w:rFonts w:ascii="宋体" w:hAnsi="宋体" w:eastAsia="宋体" w:cs="宋体"/>
          <w:b/>
          <w:color w:val="auto"/>
          <w:sz w:val="28"/>
        </w:rPr>
        <w:t>企业简介：</w:t>
      </w:r>
      <w:r>
        <w:rPr>
          <w:rFonts w:ascii="宋体" w:hAnsi="宋体" w:eastAsia="宋体" w:cs="宋体"/>
          <w:color w:val="auto"/>
          <w:sz w:val="28"/>
        </w:rPr>
        <w:t>1份。包括公司发展历程、组织架构、业务范围、核心团队成员介绍等，展示企业的实力和优势。</w:t>
      </w:r>
    </w:p>
    <w:p w14:paraId="445675A5">
      <w:pPr>
        <w:spacing w:before="120" w:after="0"/>
        <w:jc w:val="left"/>
        <w:rPr>
          <w:rFonts w:hint="eastAsia" w:ascii="宋体" w:hAnsi="宋体" w:eastAsia="宋体" w:cs="宋体"/>
          <w:color w:val="auto"/>
          <w:sz w:val="28"/>
        </w:rPr>
      </w:pPr>
      <w:r>
        <w:rPr>
          <w:rFonts w:ascii="宋体" w:hAnsi="宋体" w:eastAsia="宋体" w:cs="宋体"/>
          <w:color w:val="auto"/>
          <w:sz w:val="28"/>
        </w:rPr>
        <w:t xml:space="preserve">h. </w:t>
      </w:r>
      <w:r>
        <w:rPr>
          <w:rFonts w:ascii="宋体" w:hAnsi="宋体" w:eastAsia="宋体" w:cs="宋体"/>
          <w:b/>
          <w:color w:val="auto"/>
          <w:sz w:val="28"/>
        </w:rPr>
        <w:t>类似项目案例：</w:t>
      </w:r>
      <w:r>
        <w:rPr>
          <w:rFonts w:ascii="宋体" w:hAnsi="宋体" w:eastAsia="宋体" w:cs="宋体"/>
          <w:color w:val="auto"/>
          <w:sz w:val="28"/>
        </w:rPr>
        <w:t>1份。详细说明项目的规模、内容、执行效果等，证明企业具备丰富的活动经验和良好的执行能力。</w:t>
      </w:r>
    </w:p>
    <w:p w14:paraId="43EC0725">
      <w:pPr>
        <w:spacing w:before="120" w:after="0"/>
        <w:jc w:val="left"/>
        <w:rPr>
          <w:rFonts w:hint="eastAsia" w:ascii="宋体" w:hAnsi="宋体" w:eastAsia="宋体" w:cs="宋体"/>
          <w:color w:val="auto"/>
          <w:sz w:val="28"/>
        </w:rPr>
      </w:pPr>
      <w:r>
        <w:rPr>
          <w:rFonts w:ascii="宋体" w:hAnsi="宋体" w:eastAsia="宋体" w:cs="宋体"/>
          <w:color w:val="auto"/>
          <w:sz w:val="28"/>
        </w:rPr>
        <w:t xml:space="preserve">i. </w:t>
      </w:r>
      <w:r>
        <w:rPr>
          <w:rFonts w:hint="eastAsia" w:ascii="宋体" w:hAnsi="宋体" w:eastAsia="宋体" w:cs="宋体"/>
          <w:b/>
          <w:color w:val="auto"/>
          <w:sz w:val="28"/>
          <w:lang w:val="en-US" w:eastAsia="zh-CN"/>
        </w:rPr>
        <w:t>企业荣</w:t>
      </w:r>
      <w:r>
        <w:rPr>
          <w:rFonts w:ascii="宋体" w:hAnsi="宋体" w:eastAsia="宋体" w:cs="宋体"/>
          <w:b/>
          <w:color w:val="auto"/>
          <w:sz w:val="28"/>
        </w:rPr>
        <w:t>誉文件或者其他业绩证明材料：</w:t>
      </w:r>
      <w:r>
        <w:rPr>
          <w:rFonts w:ascii="宋体" w:hAnsi="宋体" w:eastAsia="宋体" w:cs="宋体"/>
          <w:color w:val="auto"/>
          <w:sz w:val="28"/>
        </w:rPr>
        <w:t>1份。</w:t>
      </w:r>
    </w:p>
    <w:p w14:paraId="50DAE5DD">
      <w:pPr>
        <w:spacing w:before="120" w:after="0"/>
        <w:jc w:val="left"/>
        <w:rPr>
          <w:rFonts w:hint="eastAsia" w:ascii="宋体" w:hAnsi="宋体" w:eastAsia="宋体" w:cs="宋体"/>
          <w:color w:val="auto"/>
          <w:sz w:val="28"/>
        </w:rPr>
      </w:pPr>
      <w:r>
        <w:rPr>
          <w:rFonts w:ascii="宋体" w:hAnsi="宋体" w:eastAsia="宋体" w:cs="宋体"/>
          <w:color w:val="auto"/>
          <w:sz w:val="28"/>
        </w:rPr>
        <w:t xml:space="preserve">j. </w:t>
      </w:r>
      <w:r>
        <w:rPr>
          <w:rFonts w:ascii="宋体" w:hAnsi="宋体" w:eastAsia="宋体" w:cs="宋体"/>
          <w:b/>
          <w:color w:val="auto"/>
          <w:sz w:val="28"/>
        </w:rPr>
        <w:t>主要技术人员业绩一览表：</w:t>
      </w:r>
      <w:r>
        <w:rPr>
          <w:rFonts w:ascii="宋体" w:hAnsi="宋体" w:eastAsia="宋体" w:cs="宋体"/>
          <w:color w:val="auto"/>
          <w:sz w:val="28"/>
        </w:rPr>
        <w:t>视参与人员数，1人1份。（文件见附件</w:t>
      </w:r>
      <w:r>
        <w:rPr>
          <w:rFonts w:hint="eastAsia" w:ascii="宋体" w:hAnsi="宋体" w:eastAsia="宋体" w:cs="宋体"/>
          <w:color w:val="auto"/>
          <w:sz w:val="28"/>
        </w:rPr>
        <w:t>六</w:t>
      </w:r>
      <w:r>
        <w:rPr>
          <w:rFonts w:ascii="宋体" w:hAnsi="宋体" w:eastAsia="宋体" w:cs="宋体"/>
          <w:color w:val="auto"/>
          <w:sz w:val="28"/>
        </w:rPr>
        <w:t>）</w:t>
      </w:r>
    </w:p>
    <w:p w14:paraId="78B13DCD">
      <w:pPr>
        <w:spacing w:before="120" w:after="0"/>
        <w:jc w:val="left"/>
        <w:rPr>
          <w:rFonts w:hint="eastAsia" w:ascii="宋体" w:hAnsi="宋体" w:eastAsia="宋体" w:cs="宋体"/>
          <w:color w:val="auto"/>
          <w:sz w:val="28"/>
        </w:rPr>
      </w:pPr>
      <w:r>
        <w:rPr>
          <w:rFonts w:ascii="宋体" w:hAnsi="宋体" w:eastAsia="宋体" w:cs="宋体"/>
          <w:b/>
          <w:color w:val="auto"/>
          <w:sz w:val="28"/>
        </w:rPr>
        <w:t>k. 报价文件：</w:t>
      </w:r>
      <w:r>
        <w:rPr>
          <w:rFonts w:ascii="宋体" w:hAnsi="宋体" w:eastAsia="宋体" w:cs="宋体"/>
          <w:color w:val="auto"/>
          <w:sz w:val="28"/>
        </w:rPr>
        <w:t>提供完整的报价清单1份。</w:t>
      </w:r>
    </w:p>
    <w:p w14:paraId="429CDE9A">
      <w:pPr>
        <w:numPr>
          <w:ilvl w:val="0"/>
          <w:numId w:val="3"/>
        </w:numPr>
        <w:spacing w:before="0" w:after="0" w:line="360" w:lineRule="auto"/>
      </w:pPr>
      <w:r>
        <w:rPr>
          <w:rFonts w:ascii="宋体" w:hAnsi="宋体" w:eastAsia="宋体" w:cs="宋体"/>
          <w:color w:val="000000"/>
          <w:sz w:val="28"/>
        </w:rPr>
        <w:t>自主竞争报价，单位为“元”。</w:t>
      </w:r>
    </w:p>
    <w:p w14:paraId="1714A0F9">
      <w:pPr>
        <w:numPr>
          <w:ilvl w:val="0"/>
          <w:numId w:val="3"/>
        </w:numPr>
        <w:spacing w:before="120" w:after="0"/>
        <w:jc w:val="left"/>
        <w:rPr>
          <w:rFonts w:hint="eastAsia" w:ascii="宋体" w:hAnsi="宋体" w:eastAsia="宋体" w:cs="宋体"/>
          <w:color w:val="auto"/>
          <w:sz w:val="28"/>
        </w:rPr>
      </w:pPr>
      <w:r>
        <w:rPr>
          <w:rFonts w:ascii="宋体" w:hAnsi="宋体" w:eastAsia="宋体" w:cs="宋体"/>
          <w:b/>
          <w:color w:val="auto"/>
          <w:sz w:val="28"/>
        </w:rPr>
        <w:t>项目为总价包干合同价。</w:t>
      </w:r>
      <w:r>
        <w:rPr>
          <w:rFonts w:ascii="宋体" w:hAnsi="宋体" w:eastAsia="宋体" w:cs="宋体"/>
          <w:color w:val="auto"/>
          <w:sz w:val="28"/>
        </w:rPr>
        <w:t>除非本招标文件中另有规定，投标价格应包括完成招标文件内所说明的全部工作及履行所有责任及义务的所需费用。固定总价价格不因市场价格和政府税费的变化而作任何调整。投标方应保证其报价的充分性、完备性和合理符合性，任何情况下，工程量清单中各项目的报价属于投标方自身的风险，南七不接受任何由于投标方以组价不当（包括但不限于工作内容理解的偏差、市场价格的判断、取费等）为由而提出的任何索赔。</w:t>
      </w:r>
    </w:p>
    <w:p w14:paraId="0D7040EF">
      <w:pPr>
        <w:numPr>
          <w:ilvl w:val="0"/>
          <w:numId w:val="3"/>
        </w:numPr>
        <w:spacing w:before="120" w:after="0"/>
        <w:jc w:val="left"/>
        <w:rPr>
          <w:rFonts w:hint="eastAsia" w:ascii="宋体" w:hAnsi="宋体" w:eastAsia="宋体" w:cs="宋体"/>
          <w:sz w:val="28"/>
        </w:rPr>
      </w:pPr>
      <w:r>
        <w:rPr>
          <w:rFonts w:ascii="宋体" w:hAnsi="宋体" w:eastAsia="宋体" w:cs="宋体"/>
          <w:b/>
          <w:color w:val="auto"/>
          <w:sz w:val="28"/>
        </w:rPr>
        <w:t>提供各项服务的详细报价清单：</w:t>
      </w:r>
      <w:r>
        <w:rPr>
          <w:rFonts w:ascii="宋体" w:hAnsi="宋体" w:eastAsia="宋体" w:cs="宋体"/>
          <w:color w:val="auto"/>
          <w:sz w:val="28"/>
        </w:rPr>
        <w:t>报价内容应涵盖</w:t>
      </w:r>
      <w:r>
        <w:rPr>
          <w:rFonts w:hint="eastAsia" w:ascii="宋体" w:hAnsi="宋体" w:eastAsia="宋体" w:cs="宋体"/>
          <w:color w:val="auto"/>
          <w:sz w:val="28"/>
          <w:lang w:val="en-US" w:eastAsia="zh-CN"/>
        </w:rPr>
        <w:t>展览方案设计</w:t>
      </w:r>
      <w:r>
        <w:rPr>
          <w:rFonts w:ascii="宋体" w:hAnsi="宋体" w:eastAsia="宋体" w:cs="宋体"/>
          <w:color w:val="auto"/>
          <w:sz w:val="28"/>
        </w:rPr>
        <w:t>、</w:t>
      </w:r>
      <w:r>
        <w:rPr>
          <w:rFonts w:hint="eastAsia" w:ascii="宋体" w:hAnsi="宋体" w:eastAsia="宋体" w:cs="宋体"/>
          <w:color w:val="auto"/>
          <w:sz w:val="28"/>
          <w:lang w:val="en-US" w:eastAsia="zh-CN"/>
        </w:rPr>
        <w:t>效果图设计、施工搭建费用、布展/撤展辅材费用</w:t>
      </w:r>
      <w:r>
        <w:rPr>
          <w:rFonts w:ascii="宋体" w:hAnsi="宋体" w:eastAsia="宋体" w:cs="宋体"/>
          <w:color w:val="auto"/>
          <w:sz w:val="28"/>
        </w:rPr>
        <w:t>、</w:t>
      </w:r>
      <w:r>
        <w:rPr>
          <w:rFonts w:hint="eastAsia" w:ascii="宋体" w:hAnsi="宋体" w:eastAsia="宋体" w:cs="宋体"/>
          <w:color w:val="auto"/>
          <w:sz w:val="28"/>
          <w:lang w:val="en-US" w:eastAsia="zh-CN"/>
        </w:rPr>
        <w:t>人工费用、</w:t>
      </w:r>
      <w:r>
        <w:rPr>
          <w:rFonts w:ascii="宋体" w:hAnsi="宋体" w:eastAsia="宋体" w:cs="宋体"/>
          <w:color w:val="auto"/>
          <w:sz w:val="28"/>
        </w:rPr>
        <w:t>租赁、布置搭建、安保等所有费用，</w:t>
      </w:r>
      <w:bookmarkStart w:id="0" w:name="_GoBack"/>
      <w:bookmarkEnd w:id="0"/>
      <w:r>
        <w:rPr>
          <w:rFonts w:ascii="宋体" w:hAnsi="宋体" w:eastAsia="宋体" w:cs="宋体"/>
          <w:color w:val="auto"/>
          <w:sz w:val="28"/>
        </w:rPr>
        <w:t>注明各项费用的收费标准和计费方式，便于主办方进行成本核算和比较。</w:t>
      </w:r>
    </w:p>
    <w:p w14:paraId="2677C773">
      <w:pPr>
        <w:numPr>
          <w:ilvl w:val="0"/>
          <w:numId w:val="3"/>
        </w:numPr>
        <w:spacing w:before="120" w:after="0"/>
        <w:jc w:val="left"/>
        <w:rPr>
          <w:rFonts w:hint="eastAsia" w:ascii="宋体" w:hAnsi="宋体" w:eastAsia="宋体" w:cs="宋体"/>
          <w:color w:val="auto"/>
          <w:sz w:val="28"/>
        </w:rPr>
      </w:pPr>
      <w:r>
        <w:rPr>
          <w:rFonts w:ascii="宋体" w:hAnsi="宋体" w:eastAsia="宋体" w:cs="宋体"/>
          <w:color w:val="auto"/>
          <w:sz w:val="28"/>
        </w:rPr>
        <w:t>报价应合理、透明，不得高于项目预算。</w:t>
      </w:r>
    </w:p>
    <w:p w14:paraId="5C2B4A36">
      <w:pPr>
        <w:numPr>
          <w:ilvl w:val="0"/>
          <w:numId w:val="3"/>
        </w:numPr>
        <w:spacing w:before="120" w:after="0"/>
        <w:jc w:val="left"/>
        <w:rPr>
          <w:rFonts w:hint="eastAsia" w:ascii="宋体" w:hAnsi="宋体" w:eastAsia="宋体" w:cs="宋体"/>
          <w:color w:val="auto"/>
          <w:sz w:val="28"/>
        </w:rPr>
      </w:pPr>
      <w:r>
        <w:rPr>
          <w:rFonts w:ascii="宋体" w:hAnsi="宋体" w:eastAsia="宋体" w:cs="宋体"/>
          <w:color w:val="auto"/>
          <w:sz w:val="28"/>
        </w:rPr>
        <w:t>投标价需包括所有的销售税金，印花税，增值税，企业所得税，个人所得税，进口税和与合同作业有关的其他各项税金。</w:t>
      </w:r>
    </w:p>
    <w:p w14:paraId="03CAE5BE">
      <w:pPr>
        <w:numPr>
          <w:ilvl w:val="0"/>
          <w:numId w:val="3"/>
        </w:numPr>
        <w:spacing w:before="120" w:after="0"/>
        <w:jc w:val="left"/>
        <w:rPr>
          <w:rFonts w:hint="eastAsia" w:ascii="宋体" w:hAnsi="宋体" w:eastAsia="宋体" w:cs="宋体"/>
          <w:color w:val="auto"/>
          <w:sz w:val="28"/>
        </w:rPr>
      </w:pPr>
      <w:r>
        <w:rPr>
          <w:rFonts w:ascii="宋体" w:hAnsi="宋体" w:eastAsia="宋体" w:cs="宋体"/>
          <w:color w:val="auto"/>
          <w:sz w:val="28"/>
        </w:rPr>
        <w:t>投标人踏勘现场的费用以及责任、风险由投标人自行承担。</w:t>
      </w:r>
    </w:p>
    <w:p w14:paraId="19DC619F">
      <w:pPr>
        <w:spacing w:before="120" w:after="0"/>
        <w:jc w:val="left"/>
        <w:rPr>
          <w:rFonts w:hint="eastAsia" w:ascii="宋体" w:hAnsi="宋体" w:eastAsia="宋体" w:cs="宋体"/>
          <w:color w:val="auto"/>
          <w:sz w:val="28"/>
        </w:rPr>
      </w:pPr>
    </w:p>
    <w:p w14:paraId="4369697E"/>
    <w:p w14:paraId="3E00E45C">
      <w:pPr>
        <w:pStyle w:val="3"/>
        <w:rPr>
          <w:rFonts w:hint="eastAsia" w:ascii="宋体" w:hAnsi="宋体" w:eastAsia="宋体" w:cs="宋体"/>
          <w:sz w:val="30"/>
        </w:rPr>
      </w:pPr>
      <w:r>
        <w:rPr>
          <w:rFonts w:ascii="宋体" w:hAnsi="宋体" w:eastAsia="宋体" w:cs="宋体"/>
          <w:sz w:val="30"/>
        </w:rPr>
        <w:t>六、投标安排及须知</w:t>
      </w:r>
    </w:p>
    <w:p w14:paraId="4345723E">
      <w:pPr>
        <w:pStyle w:val="4"/>
        <w:rPr>
          <w:rFonts w:hint="eastAsia" w:ascii="宋体" w:hAnsi="宋体" w:eastAsia="宋体" w:cs="宋体"/>
        </w:rPr>
      </w:pPr>
      <w:r>
        <w:rPr>
          <w:rFonts w:ascii="宋体" w:hAnsi="宋体" w:eastAsia="宋体" w:cs="宋体"/>
        </w:rPr>
        <w:t>1.招标文件的澄清或者修改</w:t>
      </w:r>
    </w:p>
    <w:p w14:paraId="5A3C7FAD">
      <w:pPr>
        <w:snapToGrid w:val="0"/>
        <w:spacing w:before="0" w:after="0" w:line="360" w:lineRule="auto"/>
        <w:rPr>
          <w:rFonts w:hint="eastAsia" w:ascii="宋体" w:hAnsi="宋体" w:eastAsia="宋体" w:cs="宋体"/>
          <w:sz w:val="28"/>
        </w:rPr>
      </w:pPr>
      <w:r>
        <w:rPr>
          <w:rFonts w:ascii="宋体" w:hAnsi="宋体" w:eastAsia="宋体" w:cs="宋体"/>
          <w:color w:val="000000"/>
          <w:sz w:val="28"/>
        </w:rPr>
        <w:t>1.1投标人应仔细阅读和检查招标文件的全部内容。如有疑问，招标人</w:t>
      </w:r>
      <w:r>
        <w:rPr>
          <w:rFonts w:ascii="宋体" w:hAnsi="宋体" w:eastAsia="宋体" w:cs="宋体"/>
          <w:b/>
          <w:color w:val="000000"/>
          <w:sz w:val="28"/>
        </w:rPr>
        <w:t>于</w:t>
      </w:r>
      <w:r>
        <w:rPr>
          <w:rFonts w:ascii="宋体" w:hAnsi="宋体" w:eastAsia="宋体" w:cs="宋体"/>
          <w:b/>
          <w:color w:val="FF0000"/>
          <w:sz w:val="28"/>
        </w:rPr>
        <w:t>2025年0</w:t>
      </w:r>
      <w:r>
        <w:rPr>
          <w:rFonts w:hint="eastAsia" w:ascii="宋体" w:hAnsi="宋体" w:eastAsia="宋体" w:cs="宋体"/>
          <w:b/>
          <w:color w:val="FF0000"/>
          <w:sz w:val="28"/>
          <w:lang w:val="en-US" w:eastAsia="zh-CN"/>
        </w:rPr>
        <w:t>6</w:t>
      </w:r>
      <w:r>
        <w:rPr>
          <w:rFonts w:ascii="宋体" w:hAnsi="宋体" w:eastAsia="宋体" w:cs="宋体"/>
          <w:b/>
          <w:color w:val="FF0000"/>
          <w:sz w:val="28"/>
        </w:rPr>
        <w:t>月</w:t>
      </w:r>
      <w:r>
        <w:rPr>
          <w:rFonts w:hint="eastAsia" w:ascii="宋体" w:hAnsi="宋体" w:eastAsia="宋体" w:cs="宋体"/>
          <w:b/>
          <w:color w:val="FF0000"/>
          <w:sz w:val="28"/>
          <w:lang w:val="en-US" w:eastAsia="zh-CN"/>
        </w:rPr>
        <w:t>0</w:t>
      </w:r>
      <w:r>
        <w:rPr>
          <w:rFonts w:ascii="宋体" w:hAnsi="宋体" w:eastAsia="宋体" w:cs="宋体"/>
          <w:b/>
          <w:color w:val="FF0000"/>
          <w:sz w:val="28"/>
        </w:rPr>
        <w:t>9日</w:t>
      </w:r>
      <w:r>
        <w:rPr>
          <w:rFonts w:ascii="宋体" w:hAnsi="宋体" w:eastAsia="宋体" w:cs="宋体"/>
          <w:b/>
          <w:color w:val="000000"/>
          <w:sz w:val="28"/>
        </w:rPr>
        <w:t>进行统一答疑</w:t>
      </w:r>
      <w:r>
        <w:rPr>
          <w:rFonts w:ascii="宋体" w:hAnsi="宋体" w:eastAsia="宋体" w:cs="宋体"/>
          <w:color w:val="000000"/>
          <w:sz w:val="28"/>
        </w:rPr>
        <w:t>。</w:t>
      </w:r>
    </w:p>
    <w:p w14:paraId="5DFAF0CE">
      <w:pPr>
        <w:snapToGrid w:val="0"/>
        <w:spacing w:before="0" w:after="0" w:line="360" w:lineRule="auto"/>
        <w:rPr>
          <w:rFonts w:hint="eastAsia" w:ascii="宋体" w:hAnsi="宋体" w:eastAsia="宋体" w:cs="宋体"/>
          <w:color w:val="000000"/>
          <w:sz w:val="28"/>
        </w:rPr>
      </w:pPr>
      <w:r>
        <w:rPr>
          <w:rFonts w:ascii="宋体" w:hAnsi="宋体" w:eastAsia="宋体" w:cs="宋体"/>
          <w:color w:val="000000"/>
          <w:sz w:val="28"/>
        </w:rPr>
        <w:t>1.2前款所指疑问是指：因招标文件有不明确、歧义、前后不一致、描述错误的条款或者投标人不理解相关条款的含义等情况而提出的问题。</w:t>
      </w:r>
    </w:p>
    <w:p w14:paraId="7EF4EA52">
      <w:pPr>
        <w:snapToGrid w:val="0"/>
        <w:spacing w:before="0" w:after="0" w:line="360" w:lineRule="auto"/>
        <w:rPr>
          <w:rFonts w:hint="eastAsia" w:ascii="宋体" w:hAnsi="宋体" w:eastAsia="宋体" w:cs="宋体"/>
          <w:color w:val="000000"/>
          <w:sz w:val="28"/>
        </w:rPr>
      </w:pPr>
      <w:r>
        <w:rPr>
          <w:rFonts w:ascii="宋体" w:hAnsi="宋体" w:eastAsia="宋体" w:cs="宋体"/>
          <w:color w:val="000000"/>
          <w:sz w:val="28"/>
        </w:rPr>
        <w:t>1.3投标人确认招标人提供的基础资料存在的漏项或计算误差，应于招标人和所有获得招标文件的投标人认可的时间内，以书面方式向招标人提出。投标人未在规定的时间内对招标人提供的基础资料提出异议，视为投标人已认可招标人提供的资料包含了</w:t>
      </w:r>
      <w:r>
        <w:rPr>
          <w:rFonts w:hint="eastAsia" w:ascii="宋体" w:hAnsi="宋体" w:eastAsia="宋体" w:cs="宋体"/>
          <w:color w:val="000000"/>
          <w:sz w:val="28"/>
        </w:rPr>
        <w:t>8月Q世纪：量子物理百年科普展</w:t>
      </w:r>
      <w:r>
        <w:rPr>
          <w:rFonts w:hint="eastAsia" w:ascii="宋体" w:hAnsi="宋体" w:eastAsia="宋体" w:cs="宋体"/>
          <w:color w:val="000000"/>
          <w:sz w:val="28"/>
          <w:lang w:val="en-US" w:eastAsia="zh-CN"/>
        </w:rPr>
        <w:t>项目</w:t>
      </w:r>
      <w:r>
        <w:rPr>
          <w:rFonts w:ascii="宋体" w:hAnsi="宋体" w:eastAsia="宋体" w:cs="宋体"/>
          <w:color w:val="000000"/>
          <w:sz w:val="28"/>
        </w:rPr>
        <w:t>所需的基础资料全部内容。</w:t>
      </w:r>
    </w:p>
    <w:p w14:paraId="14CE43AD">
      <w:pPr>
        <w:snapToGrid w:val="0"/>
        <w:spacing w:before="0" w:after="0" w:line="360" w:lineRule="auto"/>
        <w:rPr>
          <w:rFonts w:hint="eastAsia" w:ascii="宋体" w:hAnsi="宋体" w:eastAsia="宋体" w:cs="宋体"/>
          <w:sz w:val="28"/>
        </w:rPr>
      </w:pPr>
      <w:r>
        <w:rPr>
          <w:rFonts w:ascii="宋体" w:hAnsi="宋体" w:eastAsia="宋体" w:cs="宋体"/>
          <w:color w:val="000000"/>
          <w:sz w:val="28"/>
        </w:rPr>
        <w:t>1.4招标人可以对已发出的招标文件进行必要的澄清或者修改。澄清或者修改的内容可能影响投标文件编制的，招标人将在投标截止时间至少3个工作日，以电子邮件形式通知所有获取招标文件的投标公司；如果澄清或者修改招标文件的时间距投标截止时间不足3个工作日，招标人将顺延提交投标文件的截止时间。</w:t>
      </w:r>
    </w:p>
    <w:p w14:paraId="48070F4D">
      <w:pPr>
        <w:snapToGrid w:val="0"/>
        <w:spacing w:before="0" w:after="0" w:line="360" w:lineRule="auto"/>
        <w:rPr>
          <w:rFonts w:hint="eastAsia" w:ascii="宋体" w:hAnsi="宋体" w:eastAsia="宋体" w:cs="宋体"/>
          <w:color w:val="000000"/>
          <w:sz w:val="28"/>
        </w:rPr>
      </w:pPr>
      <w:r>
        <w:rPr>
          <w:rFonts w:ascii="宋体" w:hAnsi="宋体" w:eastAsia="宋体" w:cs="宋体"/>
          <w:color w:val="000000"/>
          <w:sz w:val="28"/>
        </w:rPr>
        <w:t>1.5澄清或者修改内容为招标文件的组成部分，投标公司在收到澄清或者修改后，应于当日以电子邮件的形式通知招标人，确认己收到该澄清或者修改。</w:t>
      </w:r>
    </w:p>
    <w:p w14:paraId="51E2D370">
      <w:pPr>
        <w:snapToGrid w:val="0"/>
        <w:spacing w:before="0" w:after="0" w:line="360" w:lineRule="auto"/>
        <w:rPr>
          <w:rFonts w:hint="eastAsia" w:ascii="宋体" w:hAnsi="宋体" w:eastAsia="宋体" w:cs="宋体"/>
          <w:b/>
          <w:color w:val="000000"/>
          <w:sz w:val="28"/>
          <w:shd w:val="clear" w:color="auto" w:fill="FFFF00"/>
        </w:rPr>
      </w:pPr>
    </w:p>
    <w:p w14:paraId="05D6610F">
      <w:pPr>
        <w:pStyle w:val="4"/>
        <w:numPr>
          <w:ilvl w:val="0"/>
          <w:numId w:val="4"/>
        </w:numPr>
        <w:rPr>
          <w:rFonts w:hint="eastAsia" w:ascii="宋体" w:hAnsi="宋体" w:eastAsia="宋体" w:cs="宋体"/>
        </w:rPr>
      </w:pPr>
      <w:r>
        <w:rPr>
          <w:rFonts w:ascii="宋体" w:hAnsi="宋体" w:eastAsia="宋体" w:cs="宋体"/>
        </w:rPr>
        <w:t>递交投标文件</w:t>
      </w:r>
    </w:p>
    <w:p w14:paraId="0C56291C">
      <w:pPr>
        <w:spacing w:before="120" w:after="0"/>
        <w:jc w:val="left"/>
        <w:rPr>
          <w:rFonts w:hint="eastAsia" w:ascii="宋体" w:hAnsi="宋体" w:eastAsia="宋体" w:cs="宋体"/>
          <w:color w:val="auto"/>
          <w:sz w:val="28"/>
        </w:rPr>
      </w:pPr>
      <w:r>
        <w:rPr>
          <w:rFonts w:ascii="宋体" w:hAnsi="宋体" w:eastAsia="宋体" w:cs="宋体"/>
          <w:b/>
          <w:color w:val="FF0000"/>
          <w:sz w:val="28"/>
        </w:rPr>
        <w:t>2.1截止时间：</w:t>
      </w:r>
      <w:r>
        <w:rPr>
          <w:rFonts w:hint="eastAsia" w:ascii="宋体" w:hAnsi="宋体" w:eastAsia="宋体" w:cs="宋体"/>
          <w:b/>
          <w:color w:val="FF0000"/>
          <w:sz w:val="28"/>
          <w:lang w:val="en-US" w:eastAsia="zh-CN"/>
        </w:rPr>
        <w:t>6</w:t>
      </w:r>
      <w:r>
        <w:rPr>
          <w:rFonts w:ascii="宋体" w:hAnsi="宋体" w:eastAsia="宋体" w:cs="宋体"/>
          <w:b/>
          <w:color w:val="FF0000"/>
          <w:sz w:val="28"/>
        </w:rPr>
        <w:t>月</w:t>
      </w:r>
      <w:r>
        <w:rPr>
          <w:rFonts w:hint="eastAsia" w:ascii="宋体" w:hAnsi="宋体" w:eastAsia="宋体" w:cs="宋体"/>
          <w:b/>
          <w:color w:val="FF0000"/>
          <w:sz w:val="28"/>
          <w:lang w:val="en-US" w:eastAsia="zh-CN"/>
        </w:rPr>
        <w:t>18</w:t>
      </w:r>
      <w:r>
        <w:rPr>
          <w:rFonts w:ascii="宋体" w:hAnsi="宋体" w:eastAsia="宋体" w:cs="宋体"/>
          <w:b/>
          <w:color w:val="FF0000"/>
          <w:sz w:val="28"/>
        </w:rPr>
        <w:t>日。</w:t>
      </w:r>
      <w:r>
        <w:rPr>
          <w:rFonts w:ascii="宋体" w:hAnsi="宋体" w:eastAsia="宋体" w:cs="宋体"/>
          <w:color w:val="auto"/>
          <w:sz w:val="28"/>
        </w:rPr>
        <w:t>供应商应在截止时间前将投标文件（U盘电子文件及纸质文件）送达指定地点，逾期送达的投标文件将被拒收。</w:t>
      </w:r>
    </w:p>
    <w:p w14:paraId="6073D489">
      <w:pPr>
        <w:spacing w:before="120" w:after="0"/>
        <w:jc w:val="left"/>
        <w:rPr>
          <w:rFonts w:hint="eastAsia" w:ascii="宋体" w:hAnsi="宋体" w:eastAsia="宋体" w:cs="宋体"/>
          <w:color w:val="FF0000"/>
          <w:sz w:val="28"/>
        </w:rPr>
      </w:pPr>
      <w:r>
        <w:rPr>
          <w:rFonts w:ascii="宋体" w:hAnsi="宋体" w:eastAsia="宋体" w:cs="宋体"/>
          <w:b/>
          <w:color w:val="FF0000"/>
          <w:sz w:val="28"/>
        </w:rPr>
        <w:t>2.2邮寄地址：</w:t>
      </w:r>
      <w:r>
        <w:rPr>
          <w:rFonts w:ascii="宋体" w:hAnsi="宋体" w:eastAsia="宋体" w:cs="宋体"/>
          <w:color w:val="FF0000"/>
          <w:sz w:val="28"/>
        </w:rPr>
        <w:t xml:space="preserve"> </w:t>
      </w:r>
    </w:p>
    <w:p w14:paraId="56AD82E8">
      <w:pPr>
        <w:spacing w:before="120" w:after="0"/>
        <w:jc w:val="left"/>
        <w:rPr>
          <w:rFonts w:hint="eastAsia" w:ascii="宋体" w:hAnsi="宋体" w:eastAsia="宋体" w:cs="宋体"/>
          <w:b/>
          <w:color w:val="FF0000"/>
          <w:sz w:val="28"/>
        </w:rPr>
      </w:pPr>
      <w:r>
        <w:rPr>
          <w:rFonts w:ascii="宋体" w:hAnsi="宋体" w:eastAsia="宋体" w:cs="宋体"/>
          <w:color w:val="000000"/>
          <w:sz w:val="28"/>
        </w:rPr>
        <w:t>耿春鹏（收）13003119961 上海浦东新区康桥镇秀龙路中科大学村南门斜对面往东50米（中国科学技术大学北门岗亭）</w:t>
      </w:r>
    </w:p>
    <w:p w14:paraId="5983D0C7"/>
    <w:p w14:paraId="30ED3B9C">
      <w:pPr>
        <w:spacing w:before="0" w:after="0" w:line="360" w:lineRule="auto"/>
        <w:rPr>
          <w:b/>
        </w:rPr>
      </w:pPr>
      <w:r>
        <w:rPr>
          <w:rFonts w:ascii="宋体" w:hAnsi="宋体" w:eastAsia="宋体" w:cs="宋体"/>
          <w:b/>
          <w:color w:val="000000"/>
          <w:sz w:val="28"/>
        </w:rPr>
        <w:t>2.3投标文件格式</w:t>
      </w:r>
    </w:p>
    <w:p w14:paraId="181496EE">
      <w:pPr>
        <w:spacing w:before="0" w:after="0" w:line="360" w:lineRule="auto"/>
      </w:pPr>
      <w:r>
        <w:rPr>
          <w:rFonts w:ascii="宋体" w:hAnsi="宋体" w:eastAsia="宋体" w:cs="宋体"/>
          <w:color w:val="000000"/>
          <w:sz w:val="28"/>
        </w:rPr>
        <w:t>1)一律使用中文，除招标人已提供格式外所有字体均采用宋体格式。</w:t>
      </w:r>
    </w:p>
    <w:p w14:paraId="68EEF855">
      <w:pPr>
        <w:spacing w:before="0" w:after="0" w:line="360" w:lineRule="auto"/>
        <w:rPr>
          <w:rFonts w:hint="eastAsia" w:ascii="宋体" w:hAnsi="宋体" w:eastAsia="宋体" w:cs="宋体"/>
          <w:color w:val="000000"/>
          <w:sz w:val="28"/>
        </w:rPr>
      </w:pPr>
      <w:r>
        <w:rPr>
          <w:rFonts w:ascii="宋体" w:hAnsi="宋体" w:eastAsia="宋体" w:cs="宋体"/>
          <w:color w:val="000000"/>
          <w:sz w:val="28"/>
        </w:rPr>
        <w:t>2）按照商务标、技术标准备文件。</w:t>
      </w:r>
    </w:p>
    <w:p w14:paraId="32B9C6D9">
      <w:pPr>
        <w:spacing w:before="0" w:after="0" w:line="360" w:lineRule="auto"/>
        <w:rPr>
          <w:rFonts w:hint="eastAsia" w:ascii="宋体" w:hAnsi="宋体" w:eastAsia="宋体" w:cs="宋体"/>
          <w:color w:val="000000"/>
          <w:sz w:val="28"/>
        </w:rPr>
      </w:pPr>
      <w:r>
        <w:rPr>
          <w:rFonts w:ascii="宋体" w:hAnsi="宋体" w:eastAsia="宋体" w:cs="宋体"/>
          <w:color w:val="000000"/>
          <w:sz w:val="28"/>
        </w:rPr>
        <w:t>3）所有文件需要准备电子版一份，拷贝进U盘。</w:t>
      </w:r>
    </w:p>
    <w:p w14:paraId="1C0E30E0">
      <w:pPr>
        <w:spacing w:before="0" w:after="0" w:line="360" w:lineRule="auto"/>
        <w:rPr>
          <w:rFonts w:hint="eastAsia" w:ascii="宋体" w:hAnsi="宋体" w:eastAsia="宋体" w:cs="宋体"/>
          <w:color w:val="000000"/>
          <w:sz w:val="28"/>
        </w:rPr>
      </w:pPr>
      <w:r>
        <w:rPr>
          <w:rFonts w:ascii="宋体" w:hAnsi="宋体" w:eastAsia="宋体" w:cs="宋体"/>
          <w:color w:val="000000"/>
          <w:sz w:val="28"/>
        </w:rPr>
        <w:t>4）所有文件中的文档类资料，需准备纸质版1份。</w:t>
      </w:r>
    </w:p>
    <w:p w14:paraId="6775C422">
      <w:pPr>
        <w:spacing w:before="0" w:after="0" w:line="360" w:lineRule="auto"/>
        <w:rPr>
          <w:rFonts w:hint="eastAsia" w:ascii="宋体" w:hAnsi="宋体" w:eastAsia="宋体" w:cs="宋体"/>
          <w:color w:val="000000"/>
          <w:sz w:val="28"/>
        </w:rPr>
      </w:pPr>
      <w:r>
        <w:rPr>
          <w:rFonts w:ascii="宋体" w:hAnsi="宋体" w:eastAsia="宋体" w:cs="宋体"/>
          <w:color w:val="000000"/>
          <w:sz w:val="28"/>
        </w:rPr>
        <w:t>5）所有文件要求加盖单位公章和法定代表人印章（或授权人印章）的地方一律不能遗漏。</w:t>
      </w:r>
    </w:p>
    <w:p w14:paraId="2BF2467C">
      <w:pPr>
        <w:spacing w:before="0" w:after="0" w:line="360" w:lineRule="auto"/>
        <w:rPr>
          <w:rFonts w:hint="eastAsia" w:ascii="宋体" w:hAnsi="宋体" w:eastAsia="宋体" w:cs="宋体"/>
          <w:color w:val="000000"/>
          <w:sz w:val="28"/>
        </w:rPr>
      </w:pPr>
      <w:r>
        <w:rPr>
          <w:rFonts w:ascii="宋体" w:hAnsi="宋体" w:eastAsia="宋体" w:cs="宋体"/>
          <w:color w:val="000000"/>
          <w:sz w:val="28"/>
        </w:rPr>
        <w:t>6）向南七递交和交付该招标的过程中产生的所有开销和成本费用将由投标方承担。</w:t>
      </w:r>
    </w:p>
    <w:p w14:paraId="0886DFBD">
      <w:pPr>
        <w:spacing w:before="0" w:after="0" w:line="360" w:lineRule="auto"/>
        <w:rPr>
          <w:rFonts w:hint="eastAsia" w:ascii="宋体" w:hAnsi="宋体" w:eastAsia="宋体" w:cs="宋体"/>
          <w:color w:val="000000"/>
          <w:sz w:val="28"/>
        </w:rPr>
      </w:pPr>
      <w:r>
        <w:rPr>
          <w:rFonts w:ascii="宋体" w:hAnsi="宋体" w:eastAsia="宋体" w:cs="宋体"/>
          <w:color w:val="000000"/>
          <w:sz w:val="28"/>
        </w:rPr>
        <w:t>7）投标文件密封及标志：</w:t>
      </w:r>
    </w:p>
    <w:p w14:paraId="3941FD39">
      <w:pPr>
        <w:numPr>
          <w:ilvl w:val="0"/>
          <w:numId w:val="5"/>
        </w:numPr>
        <w:spacing w:before="0" w:after="0" w:line="360" w:lineRule="auto"/>
        <w:rPr>
          <w:rFonts w:hint="eastAsia" w:ascii="宋体" w:hAnsi="宋体" w:eastAsia="宋体" w:cs="宋体"/>
          <w:color w:val="000000"/>
          <w:sz w:val="28"/>
        </w:rPr>
      </w:pPr>
      <w:r>
        <w:rPr>
          <w:rFonts w:ascii="宋体" w:hAnsi="宋体" w:eastAsia="宋体" w:cs="宋体"/>
          <w:color w:val="000000"/>
          <w:sz w:val="28"/>
        </w:rPr>
        <w:t>投标文件密封采用1个密封袋，U盘与纸质文件资料一起密封。密封袋材质和颜色无强制要求但须做到密封严实，封口处应加须加盖单位公章和法定代表人（或委托代理人印章）。</w:t>
      </w:r>
    </w:p>
    <w:p w14:paraId="339C49F3">
      <w:pPr>
        <w:numPr>
          <w:ilvl w:val="0"/>
          <w:numId w:val="5"/>
        </w:numPr>
        <w:spacing w:before="0" w:after="0" w:line="360" w:lineRule="auto"/>
      </w:pPr>
      <w:r>
        <w:rPr>
          <w:rFonts w:ascii="宋体" w:hAnsi="宋体" w:eastAsia="宋体" w:cs="宋体"/>
          <w:color w:val="000000"/>
          <w:sz w:val="28"/>
        </w:rPr>
        <w:t>投标文件若未按规定进行密封及标志，招标人不承担投标文件错投错放或提前开封的责任。</w:t>
      </w:r>
    </w:p>
    <w:p w14:paraId="0DCDCBBE">
      <w:pPr>
        <w:spacing w:before="0" w:after="0" w:line="360" w:lineRule="auto"/>
        <w:rPr>
          <w:rFonts w:hint="eastAsia" w:ascii="宋体" w:hAnsi="宋体" w:eastAsia="宋体" w:cs="宋体"/>
          <w:color w:val="000000"/>
          <w:sz w:val="28"/>
        </w:rPr>
      </w:pPr>
      <w:r>
        <w:rPr>
          <w:rFonts w:ascii="宋体" w:hAnsi="宋体" w:eastAsia="宋体" w:cs="宋体"/>
          <w:color w:val="000000"/>
          <w:sz w:val="28"/>
        </w:rPr>
        <w:t>2.4投标须知</w:t>
      </w:r>
    </w:p>
    <w:p w14:paraId="2B0DF10C">
      <w:pPr>
        <w:spacing w:before="0" w:after="0" w:line="360" w:lineRule="auto"/>
        <w:rPr>
          <w:rFonts w:hint="eastAsia" w:ascii="宋体" w:hAnsi="宋体" w:eastAsia="宋体" w:cs="宋体"/>
          <w:color w:val="000000"/>
          <w:sz w:val="28"/>
        </w:rPr>
      </w:pPr>
      <w:r>
        <w:rPr>
          <w:rFonts w:ascii="宋体" w:hAnsi="宋体" w:eastAsia="宋体" w:cs="宋体"/>
          <w:color w:val="000000"/>
          <w:sz w:val="28"/>
        </w:rPr>
        <w:t>1）投标人应于2.1项中确定的投标截止时间之前将投标文件递交至确定的地点和接收人。</w:t>
      </w:r>
    </w:p>
    <w:p w14:paraId="50E5159A">
      <w:pPr>
        <w:spacing w:before="0" w:after="0" w:line="360" w:lineRule="auto"/>
        <w:rPr>
          <w:rFonts w:hint="eastAsia" w:ascii="宋体" w:hAnsi="宋体" w:eastAsia="宋体" w:cs="宋体"/>
          <w:color w:val="000000"/>
          <w:sz w:val="28"/>
        </w:rPr>
      </w:pPr>
      <w:r>
        <w:rPr>
          <w:rFonts w:ascii="宋体" w:hAnsi="宋体" w:eastAsia="宋体" w:cs="宋体"/>
          <w:color w:val="000000"/>
          <w:sz w:val="28"/>
        </w:rPr>
        <w:t>2）招标人可以按本招标文件规定以补充通知的方式酌情延长投标截止时间，原定投标截止时间之前关于招标投标方面的约定仍然适用。</w:t>
      </w:r>
    </w:p>
    <w:p w14:paraId="7F7A9048">
      <w:pPr>
        <w:spacing w:before="0" w:after="0" w:line="360" w:lineRule="auto"/>
        <w:rPr>
          <w:rFonts w:hint="eastAsia" w:ascii="宋体" w:hAnsi="宋体" w:eastAsia="宋体" w:cs="宋体"/>
          <w:color w:val="000000"/>
          <w:sz w:val="28"/>
        </w:rPr>
      </w:pPr>
      <w:r>
        <w:rPr>
          <w:rFonts w:ascii="宋体" w:hAnsi="宋体" w:eastAsia="宋体" w:cs="宋体"/>
          <w:color w:val="000000"/>
          <w:sz w:val="28"/>
        </w:rPr>
        <w:t>3）招标人将拒绝接受投标截止时间之后送达的投标文件。</w:t>
      </w:r>
    </w:p>
    <w:p w14:paraId="1BFE041B">
      <w:pPr>
        <w:spacing w:before="0" w:after="0" w:line="360" w:lineRule="auto"/>
        <w:rPr>
          <w:rFonts w:hint="eastAsia" w:ascii="宋体" w:hAnsi="宋体" w:eastAsia="宋体" w:cs="宋体"/>
          <w:color w:val="000000"/>
          <w:sz w:val="28"/>
        </w:rPr>
      </w:pPr>
      <w:r>
        <w:rPr>
          <w:rFonts w:ascii="宋体" w:hAnsi="宋体" w:eastAsia="宋体" w:cs="宋体"/>
          <w:color w:val="000000"/>
          <w:sz w:val="28"/>
        </w:rPr>
        <w:t>4）投标人保证投标文件及资料均未侵犯他人的知识产权，否则必须承担全部责任。若投标人使用了他人的专利、专有技术，涉及的费用由投标人负责。</w:t>
      </w:r>
    </w:p>
    <w:p w14:paraId="7AF053A6">
      <w:pPr>
        <w:spacing w:before="0" w:after="0" w:line="360" w:lineRule="auto"/>
        <w:rPr>
          <w:rFonts w:hint="eastAsia" w:ascii="宋体" w:hAnsi="宋体" w:eastAsia="宋体" w:cs="宋体"/>
          <w:color w:val="000000"/>
          <w:sz w:val="28"/>
        </w:rPr>
      </w:pPr>
    </w:p>
    <w:p w14:paraId="70C61152">
      <w:pPr>
        <w:spacing w:before="0" w:after="0" w:line="360" w:lineRule="auto"/>
        <w:rPr>
          <w:rFonts w:hint="eastAsia" w:ascii="宋体" w:hAnsi="宋体" w:eastAsia="宋体" w:cs="宋体"/>
          <w:color w:val="000000"/>
          <w:sz w:val="28"/>
        </w:rPr>
      </w:pPr>
      <w:r>
        <w:rPr>
          <w:rFonts w:ascii="宋体" w:hAnsi="宋体" w:eastAsia="宋体" w:cs="宋体"/>
          <w:color w:val="000000"/>
          <w:sz w:val="28"/>
        </w:rPr>
        <w:t>2.5投标文件修正</w:t>
      </w:r>
    </w:p>
    <w:p w14:paraId="7993671A">
      <w:pPr>
        <w:spacing w:before="0" w:after="0" w:line="360" w:lineRule="auto"/>
        <w:rPr>
          <w:rFonts w:hint="eastAsia" w:ascii="宋体" w:hAnsi="宋体" w:eastAsia="宋体" w:cs="宋体"/>
          <w:color w:val="000000"/>
          <w:sz w:val="28"/>
        </w:rPr>
      </w:pPr>
      <w:r>
        <w:rPr>
          <w:rFonts w:ascii="宋体" w:hAnsi="宋体" w:eastAsia="宋体" w:cs="宋体"/>
          <w:color w:val="000000"/>
          <w:sz w:val="28"/>
        </w:rPr>
        <w:t>1）南七将对投标方呈交之投标文件进行校核，审查是否有计算或累计上的算术错误，南七修正错误的原则如下：</w:t>
      </w:r>
    </w:p>
    <w:p w14:paraId="26E75B70">
      <w:pPr>
        <w:numPr>
          <w:ilvl w:val="0"/>
          <w:numId w:val="6"/>
        </w:numPr>
        <w:spacing w:before="0" w:after="0" w:line="360" w:lineRule="auto"/>
        <w:rPr>
          <w:rFonts w:hint="eastAsia" w:ascii="宋体" w:hAnsi="宋体" w:eastAsia="宋体" w:cs="宋体"/>
          <w:color w:val="000000"/>
          <w:sz w:val="28"/>
        </w:rPr>
      </w:pPr>
      <w:r>
        <w:rPr>
          <w:rFonts w:ascii="宋体" w:hAnsi="宋体" w:eastAsia="宋体" w:cs="宋体"/>
          <w:color w:val="000000"/>
          <w:sz w:val="28"/>
        </w:rPr>
        <w:t>如果用数字表示的数额与用文字表示的数额不一致时，以文字表示的数额为准。</w:t>
      </w:r>
    </w:p>
    <w:p w14:paraId="14ABAF6E">
      <w:pPr>
        <w:numPr>
          <w:ilvl w:val="0"/>
          <w:numId w:val="6"/>
        </w:numPr>
        <w:spacing w:before="0" w:after="0" w:line="360" w:lineRule="auto"/>
        <w:rPr>
          <w:rFonts w:hint="eastAsia" w:ascii="宋体" w:hAnsi="宋体" w:eastAsia="宋体" w:cs="宋体"/>
          <w:color w:val="000000"/>
          <w:sz w:val="28"/>
        </w:rPr>
      </w:pPr>
      <w:r>
        <w:rPr>
          <w:rFonts w:ascii="宋体" w:hAnsi="宋体" w:eastAsia="宋体" w:cs="宋体"/>
          <w:color w:val="000000"/>
          <w:sz w:val="28"/>
        </w:rPr>
        <w:t>当填报的单价同数量的乘积校核值与标出的乘积不一致时，以单价为准，并修改</w:t>
      </w:r>
      <w:r>
        <w:rPr>
          <w:rFonts w:ascii="宋体" w:hAnsi="宋体" w:eastAsia="宋体" w:cs="宋体"/>
          <w:b/>
          <w:color w:val="000000"/>
          <w:sz w:val="28"/>
        </w:rPr>
        <w:t>标出</w:t>
      </w:r>
      <w:r>
        <w:rPr>
          <w:rFonts w:ascii="宋体" w:hAnsi="宋体" w:eastAsia="宋体" w:cs="宋体"/>
          <w:color w:val="000000"/>
          <w:sz w:val="28"/>
        </w:rPr>
        <w:t>的乘积，除非南七认为单价明显是点错小数位，此时应以标出的总额为准，并修改单价。</w:t>
      </w:r>
    </w:p>
    <w:p w14:paraId="1975DD57">
      <w:pPr>
        <w:numPr>
          <w:ilvl w:val="0"/>
          <w:numId w:val="6"/>
        </w:numPr>
        <w:spacing w:before="0" w:after="0" w:line="360" w:lineRule="auto"/>
        <w:rPr>
          <w:rFonts w:hint="eastAsia" w:ascii="宋体" w:hAnsi="宋体" w:eastAsia="宋体" w:cs="宋体"/>
          <w:color w:val="000000"/>
          <w:sz w:val="28"/>
        </w:rPr>
      </w:pPr>
      <w:r>
        <w:rPr>
          <w:rFonts w:ascii="宋体" w:hAnsi="宋体" w:eastAsia="宋体" w:cs="宋体"/>
          <w:color w:val="000000"/>
          <w:sz w:val="28"/>
        </w:rPr>
        <w:t>当填报的分项乘积累计得出的总额与填报的总额不一致时，以正确计算得出的累计总额为准，并修改填报的总额。</w:t>
      </w:r>
    </w:p>
    <w:p w14:paraId="59B905EE">
      <w:pPr>
        <w:spacing w:before="0" w:after="0" w:line="360" w:lineRule="auto"/>
      </w:pPr>
      <w:r>
        <w:rPr>
          <w:rFonts w:ascii="宋体" w:hAnsi="宋体" w:eastAsia="宋体" w:cs="宋体"/>
          <w:color w:val="000000"/>
          <w:sz w:val="28"/>
        </w:rPr>
        <w:t>2）在投标截止时间届满之后，如果南七发现在投标方呈交的投标文件中有任何错误﹑标价不一致或明显过高或过低或投标方在投标价格中提供了折让时，南七可以书面向投标方提出询问。该项询问并不表示南七有意改变投标方的投标文件内容及投标价格，投标方只可提出遵守其投标文件或撤销其投标函。该类询问并不应被视为是巨细无遗的。</w:t>
      </w:r>
    </w:p>
    <w:p w14:paraId="2A256590">
      <w:pPr>
        <w:spacing w:before="0" w:after="0" w:line="360" w:lineRule="auto"/>
        <w:rPr>
          <w:rFonts w:hint="eastAsia" w:ascii="宋体" w:hAnsi="宋体" w:eastAsia="宋体" w:cs="宋体"/>
          <w:color w:val="000000"/>
          <w:sz w:val="28"/>
        </w:rPr>
      </w:pPr>
      <w:r>
        <w:rPr>
          <w:rFonts w:ascii="宋体" w:hAnsi="宋体" w:eastAsia="宋体" w:cs="宋体"/>
          <w:color w:val="000000"/>
          <w:sz w:val="28"/>
        </w:rPr>
        <w:t>2.6投标文件撤回及修改</w:t>
      </w:r>
    </w:p>
    <w:p w14:paraId="77B60094">
      <w:pPr>
        <w:spacing w:before="0" w:after="0" w:line="360" w:lineRule="auto"/>
        <w:rPr>
          <w:rFonts w:hint="eastAsia" w:ascii="宋体" w:hAnsi="宋体" w:eastAsia="宋体" w:cs="宋体"/>
          <w:color w:val="000000"/>
          <w:sz w:val="28"/>
        </w:rPr>
      </w:pPr>
      <w:r>
        <w:rPr>
          <w:rFonts w:ascii="宋体" w:hAnsi="宋体" w:eastAsia="宋体" w:cs="宋体"/>
          <w:color w:val="000000"/>
          <w:sz w:val="28"/>
        </w:rPr>
        <w:t>1）投标人递交投标文件后，可于投标截止之前以书面形式向招标人递交撤回或补充修改其投标文件的通知。投标截止日期至投标有效期终止之前，投标人将不能撤回或修改投标文件。</w:t>
      </w:r>
    </w:p>
    <w:p w14:paraId="1C41219B">
      <w:pPr>
        <w:spacing w:before="0" w:after="0" w:line="360" w:lineRule="auto"/>
        <w:rPr>
          <w:rFonts w:hint="eastAsia" w:ascii="宋体" w:hAnsi="宋体" w:eastAsia="宋体" w:cs="宋体"/>
          <w:color w:val="000000"/>
          <w:sz w:val="28"/>
        </w:rPr>
      </w:pPr>
      <w:r>
        <w:rPr>
          <w:rFonts w:ascii="宋体" w:hAnsi="宋体" w:eastAsia="宋体" w:cs="宋体"/>
          <w:color w:val="000000"/>
          <w:sz w:val="28"/>
        </w:rPr>
        <w:t>2）投标人撤回或修改投标文件的通知，应进行标志及密封，并在密封封面标明“撤回”或“修改”字样。</w:t>
      </w:r>
    </w:p>
    <w:p w14:paraId="09B30A42">
      <w:pPr>
        <w:spacing w:before="0" w:after="0" w:line="360" w:lineRule="auto"/>
        <w:rPr>
          <w:rFonts w:hint="eastAsia" w:ascii="宋体" w:hAnsi="宋体" w:eastAsia="宋体" w:cs="宋体"/>
          <w:color w:val="000000"/>
          <w:sz w:val="28"/>
        </w:rPr>
      </w:pPr>
      <w:r>
        <w:rPr>
          <w:rFonts w:ascii="宋体" w:hAnsi="宋体" w:eastAsia="宋体" w:cs="宋体"/>
          <w:color w:val="000000"/>
          <w:sz w:val="28"/>
        </w:rPr>
        <w:t>3）投标人在投标截止之前以书面方式向招标人递交的补充、修改内容为投标文件组成部分。</w:t>
      </w:r>
    </w:p>
    <w:p w14:paraId="349D3C60">
      <w:pPr>
        <w:pStyle w:val="4"/>
        <w:rPr>
          <w:rFonts w:hint="eastAsia" w:ascii="宋体" w:hAnsi="宋体" w:eastAsia="宋体" w:cs="宋体"/>
        </w:rPr>
      </w:pPr>
      <w:r>
        <w:rPr>
          <w:rFonts w:ascii="宋体" w:hAnsi="宋体" w:eastAsia="宋体" w:cs="宋体"/>
        </w:rPr>
        <w:t>3.投标要求</w:t>
      </w:r>
    </w:p>
    <w:p w14:paraId="0F2203C6">
      <w:pPr>
        <w:spacing w:before="120" w:after="0"/>
        <w:jc w:val="left"/>
        <w:rPr>
          <w:rFonts w:hint="eastAsia" w:ascii="宋体" w:hAnsi="宋体" w:eastAsia="宋体" w:cs="宋体"/>
          <w:color w:val="000000"/>
          <w:sz w:val="28"/>
        </w:rPr>
      </w:pPr>
      <w:r>
        <w:rPr>
          <w:rFonts w:ascii="宋体" w:hAnsi="宋体" w:eastAsia="宋体" w:cs="宋体"/>
          <w:color w:val="000000"/>
          <w:sz w:val="28"/>
        </w:rPr>
        <w:t>3.1投标人不得以任何理由扰乱招投标程序；</w:t>
      </w:r>
    </w:p>
    <w:p w14:paraId="26F76EB1">
      <w:pPr>
        <w:spacing w:before="120" w:after="0"/>
        <w:jc w:val="left"/>
        <w:rPr>
          <w:rFonts w:hint="eastAsia" w:ascii="宋体" w:hAnsi="宋体" w:eastAsia="宋体" w:cs="宋体"/>
          <w:color w:val="000000"/>
          <w:sz w:val="28"/>
        </w:rPr>
      </w:pPr>
      <w:r>
        <w:rPr>
          <w:rFonts w:ascii="宋体" w:hAnsi="宋体" w:eastAsia="宋体" w:cs="宋体"/>
          <w:color w:val="000000"/>
          <w:sz w:val="28"/>
        </w:rPr>
        <w:t>3.2投标人不得应标后中途无正当理由弃标；</w:t>
      </w:r>
    </w:p>
    <w:p w14:paraId="7D5E32C5">
      <w:pPr>
        <w:spacing w:before="120" w:after="0"/>
        <w:jc w:val="left"/>
        <w:rPr>
          <w:rFonts w:hint="eastAsia" w:ascii="宋体" w:hAnsi="宋体" w:eastAsia="宋体" w:cs="宋体"/>
          <w:color w:val="000000"/>
          <w:sz w:val="28"/>
        </w:rPr>
      </w:pPr>
      <w:r>
        <w:rPr>
          <w:rFonts w:ascii="宋体" w:hAnsi="宋体" w:eastAsia="宋体" w:cs="宋体"/>
          <w:color w:val="000000"/>
          <w:sz w:val="28"/>
        </w:rPr>
        <w:t>3.3投标人不得在规定的投标有效期内撤销或修改其投标文件；</w:t>
      </w:r>
    </w:p>
    <w:p w14:paraId="21CEB1CB">
      <w:pPr>
        <w:spacing w:before="120" w:after="0"/>
        <w:jc w:val="left"/>
        <w:rPr>
          <w:rFonts w:hint="eastAsia" w:ascii="宋体" w:hAnsi="宋体" w:eastAsia="宋体" w:cs="宋体"/>
          <w:color w:val="000000"/>
          <w:sz w:val="28"/>
        </w:rPr>
      </w:pPr>
      <w:r>
        <w:rPr>
          <w:rFonts w:ascii="宋体" w:hAnsi="宋体" w:eastAsia="宋体" w:cs="宋体"/>
          <w:color w:val="000000"/>
          <w:sz w:val="28"/>
        </w:rPr>
        <w:t>3.4投标人不得采用违法、或恶意竞争等手段获取中标，包括但不限于不得以他人的名义投标、串标、以行贿或提供虚假文件和材料等手段骗取中标；</w:t>
      </w:r>
    </w:p>
    <w:p w14:paraId="118786E6">
      <w:pPr>
        <w:spacing w:before="120" w:after="0"/>
        <w:jc w:val="left"/>
        <w:rPr>
          <w:rFonts w:hint="eastAsia" w:ascii="宋体" w:hAnsi="宋体" w:eastAsia="宋体" w:cs="宋体"/>
          <w:color w:val="000000"/>
          <w:sz w:val="28"/>
        </w:rPr>
      </w:pPr>
      <w:r>
        <w:rPr>
          <w:rFonts w:ascii="宋体" w:hAnsi="宋体" w:eastAsia="宋体" w:cs="宋体"/>
          <w:color w:val="000000"/>
          <w:sz w:val="28"/>
        </w:rPr>
        <w:t>3.5中标人不得以报价失误或其他承诺不能兑现等理由要求放弃中标；</w:t>
      </w:r>
    </w:p>
    <w:p w14:paraId="174EEA57">
      <w:pPr>
        <w:spacing w:before="120" w:after="0"/>
        <w:jc w:val="left"/>
        <w:rPr>
          <w:rFonts w:hint="eastAsia" w:ascii="宋体" w:hAnsi="宋体" w:eastAsia="宋体" w:cs="宋体"/>
          <w:color w:val="000000"/>
          <w:sz w:val="28"/>
        </w:rPr>
      </w:pPr>
      <w:r>
        <w:rPr>
          <w:rFonts w:ascii="宋体" w:hAnsi="宋体" w:eastAsia="宋体" w:cs="宋体"/>
          <w:color w:val="000000"/>
          <w:sz w:val="28"/>
        </w:rPr>
        <w:t>3.6中标人不得无正当理由拒签协议或不按招投标文件履约；</w:t>
      </w:r>
    </w:p>
    <w:p w14:paraId="4980DBB4">
      <w:pPr>
        <w:snapToGrid w:val="0"/>
        <w:spacing w:before="0" w:after="0" w:line="360" w:lineRule="auto"/>
        <w:rPr>
          <w:rFonts w:hint="eastAsia" w:ascii="宋体" w:hAnsi="宋体" w:eastAsia="宋体" w:cs="宋体"/>
          <w:sz w:val="28"/>
        </w:rPr>
      </w:pPr>
      <w:r>
        <w:rPr>
          <w:rFonts w:ascii="宋体" w:hAnsi="宋体" w:eastAsia="宋体" w:cs="宋体"/>
          <w:b/>
          <w:color w:val="FF0000"/>
          <w:sz w:val="28"/>
        </w:rPr>
        <w:t>如发生以上任何情形之一，招标人将保留追究其法律责任的权利。</w:t>
      </w:r>
    </w:p>
    <w:p w14:paraId="6F7968E5">
      <w:pPr>
        <w:pStyle w:val="4"/>
        <w:rPr>
          <w:rFonts w:hint="eastAsia" w:ascii="宋体" w:hAnsi="宋体" w:eastAsia="宋体" w:cs="宋体"/>
        </w:rPr>
      </w:pPr>
      <w:r>
        <w:rPr>
          <w:rFonts w:ascii="宋体" w:hAnsi="宋体" w:eastAsia="宋体" w:cs="宋体"/>
        </w:rPr>
        <w:t>4.述标</w:t>
      </w:r>
    </w:p>
    <w:p w14:paraId="1FBA1799">
      <w:pPr>
        <w:spacing w:before="120" w:after="0"/>
        <w:jc w:val="left"/>
        <w:rPr>
          <w:rFonts w:hint="eastAsia" w:ascii="宋体" w:hAnsi="宋体" w:eastAsia="宋体" w:cs="宋体"/>
          <w:color w:val="000000"/>
          <w:sz w:val="28"/>
        </w:rPr>
      </w:pPr>
      <w:r>
        <w:rPr>
          <w:rFonts w:ascii="宋体" w:hAnsi="宋体" w:eastAsia="宋体" w:cs="宋体"/>
          <w:color w:val="000000"/>
          <w:sz w:val="28"/>
        </w:rPr>
        <w:t>4.1供应商根据提供的述标时间提前30 分钟到达述标地点。</w:t>
      </w:r>
    </w:p>
    <w:p w14:paraId="41280C8B">
      <w:pPr>
        <w:spacing w:before="120" w:after="0"/>
        <w:jc w:val="left"/>
        <w:rPr>
          <w:rFonts w:hint="eastAsia" w:ascii="宋体" w:hAnsi="宋体" w:eastAsia="宋体" w:cs="宋体"/>
          <w:color w:val="000000"/>
          <w:sz w:val="28"/>
        </w:rPr>
      </w:pPr>
      <w:r>
        <w:rPr>
          <w:rFonts w:ascii="宋体" w:hAnsi="宋体" w:eastAsia="宋体" w:cs="宋体"/>
          <w:color w:val="000000"/>
          <w:sz w:val="28"/>
        </w:rPr>
        <w:t>4.2我方将根据各家提出的策划方案和投标报价进行考评，同时筛选出最具专业性的投标方。</w:t>
      </w:r>
    </w:p>
    <w:p w14:paraId="387600AC">
      <w:pPr>
        <w:snapToGrid w:val="0"/>
        <w:spacing w:before="0" w:after="0" w:line="360" w:lineRule="auto"/>
        <w:rPr>
          <w:rFonts w:hint="eastAsia" w:ascii="宋体" w:hAnsi="宋体" w:eastAsia="宋体" w:cs="宋体"/>
          <w:b/>
          <w:color w:val="FF0000"/>
          <w:sz w:val="28"/>
        </w:rPr>
      </w:pPr>
      <w:r>
        <w:rPr>
          <w:rFonts w:ascii="宋体" w:hAnsi="宋体" w:eastAsia="宋体" w:cs="宋体"/>
          <w:b/>
          <w:color w:val="FF0000"/>
          <w:sz w:val="28"/>
        </w:rPr>
        <w:t>现场述标：2025年0</w:t>
      </w:r>
      <w:r>
        <w:rPr>
          <w:rFonts w:hint="eastAsia" w:ascii="宋体" w:hAnsi="宋体" w:eastAsia="宋体" w:cs="宋体"/>
          <w:b/>
          <w:color w:val="FF0000"/>
          <w:sz w:val="28"/>
          <w:lang w:val="en-US" w:eastAsia="zh-CN"/>
        </w:rPr>
        <w:t>6</w:t>
      </w:r>
      <w:r>
        <w:rPr>
          <w:rFonts w:ascii="宋体" w:hAnsi="宋体" w:eastAsia="宋体" w:cs="宋体"/>
          <w:b/>
          <w:color w:val="FF0000"/>
          <w:sz w:val="28"/>
        </w:rPr>
        <w:t>月</w:t>
      </w:r>
      <w:r>
        <w:rPr>
          <w:rFonts w:hint="eastAsia" w:ascii="宋体" w:hAnsi="宋体" w:eastAsia="宋体" w:cs="宋体"/>
          <w:b/>
          <w:color w:val="FF0000"/>
          <w:sz w:val="28"/>
          <w:lang w:val="en-US" w:eastAsia="zh-CN"/>
        </w:rPr>
        <w:t>19</w:t>
      </w:r>
      <w:r>
        <w:rPr>
          <w:rFonts w:ascii="宋体" w:hAnsi="宋体" w:eastAsia="宋体" w:cs="宋体"/>
          <w:b/>
          <w:color w:val="FF0000"/>
          <w:sz w:val="28"/>
        </w:rPr>
        <w:t>日（暂定，具体时间另行通知）</w:t>
      </w:r>
    </w:p>
    <w:p w14:paraId="22048799">
      <w:pPr>
        <w:snapToGrid w:val="0"/>
        <w:spacing w:before="0" w:after="0" w:line="360" w:lineRule="auto"/>
        <w:rPr>
          <w:rFonts w:hint="eastAsia" w:ascii="宋体" w:hAnsi="宋体" w:eastAsia="宋体" w:cs="宋体"/>
          <w:b/>
          <w:color w:val="FF0000"/>
          <w:sz w:val="28"/>
        </w:rPr>
      </w:pPr>
      <w:r>
        <w:rPr>
          <w:rFonts w:ascii="宋体" w:hAnsi="宋体" w:eastAsia="宋体" w:cs="宋体"/>
          <w:b/>
          <w:color w:val="FF0000"/>
          <w:sz w:val="28"/>
        </w:rPr>
        <w:t>地点：中国科学技术大学（上海园区）</w:t>
      </w:r>
    </w:p>
    <w:p w14:paraId="22D2CC81">
      <w:pPr>
        <w:snapToGrid w:val="0"/>
        <w:spacing w:before="0" w:after="0" w:line="360" w:lineRule="auto"/>
        <w:rPr>
          <w:rFonts w:hint="eastAsia" w:ascii="宋体" w:hAnsi="宋体" w:eastAsia="宋体" w:cs="宋体"/>
          <w:sz w:val="28"/>
        </w:rPr>
      </w:pPr>
    </w:p>
    <w:p w14:paraId="0BFC3520">
      <w:pPr>
        <w:pStyle w:val="4"/>
        <w:rPr>
          <w:rFonts w:hint="eastAsia" w:ascii="宋体" w:hAnsi="宋体" w:eastAsia="宋体" w:cs="宋体"/>
        </w:rPr>
      </w:pPr>
      <w:r>
        <w:rPr>
          <w:rFonts w:ascii="宋体" w:hAnsi="宋体" w:eastAsia="宋体" w:cs="宋体"/>
        </w:rPr>
        <w:t>5.评标</w:t>
      </w:r>
    </w:p>
    <w:p w14:paraId="658ED24E">
      <w:pPr>
        <w:spacing w:before="120" w:after="0"/>
        <w:jc w:val="left"/>
        <w:rPr>
          <w:rFonts w:hint="eastAsia" w:ascii="宋体" w:hAnsi="宋体" w:eastAsia="宋体" w:cs="宋体"/>
          <w:color w:val="000000"/>
          <w:sz w:val="28"/>
        </w:rPr>
      </w:pPr>
      <w:r>
        <w:rPr>
          <w:rFonts w:ascii="宋体" w:hAnsi="宋体" w:eastAsia="宋体" w:cs="宋体"/>
          <w:color w:val="000000"/>
          <w:sz w:val="28"/>
        </w:rPr>
        <w:t>5.1本次招标将由评标小组对投标公司标书的完整性、项目策划的全面程度、各项服务内容的可靠性、价格合理度等方面进行综合评比。</w:t>
      </w:r>
    </w:p>
    <w:p w14:paraId="3326F7B1">
      <w:pPr>
        <w:spacing w:before="120" w:after="0"/>
        <w:jc w:val="left"/>
        <w:rPr>
          <w:rFonts w:hint="eastAsia" w:ascii="宋体" w:hAnsi="宋体" w:eastAsia="宋体" w:cs="宋体"/>
          <w:color w:val="000000"/>
          <w:sz w:val="28"/>
        </w:rPr>
      </w:pPr>
      <w:r>
        <w:rPr>
          <w:rFonts w:ascii="宋体" w:hAnsi="宋体" w:eastAsia="宋体" w:cs="宋体"/>
          <w:color w:val="000000"/>
          <w:sz w:val="28"/>
        </w:rPr>
        <w:t>5.2在评标过程中，招标人可能随时要求某一投标公司提供补充资料、澄清或解释某些问题，投标供应商应按招标人的要求以书面形式及时答复。</w:t>
      </w:r>
    </w:p>
    <w:p w14:paraId="78F916B7">
      <w:pPr>
        <w:spacing w:before="120" w:after="0"/>
        <w:jc w:val="left"/>
        <w:rPr>
          <w:rFonts w:hint="eastAsia" w:ascii="宋体" w:hAnsi="宋体" w:eastAsia="宋体" w:cs="宋体"/>
          <w:color w:val="000000"/>
          <w:sz w:val="28"/>
        </w:rPr>
      </w:pPr>
      <w:r>
        <w:rPr>
          <w:rFonts w:ascii="宋体" w:hAnsi="宋体" w:eastAsia="宋体" w:cs="宋体"/>
          <w:color w:val="000000"/>
          <w:sz w:val="28"/>
        </w:rPr>
        <w:t>5.3在评标过程中，投标公司不得以任何理由、任何形式干扰招标人的评标工作，否则，其投标书将有可能被判为废标。</w:t>
      </w:r>
    </w:p>
    <w:p w14:paraId="06E96D62">
      <w:pPr>
        <w:spacing w:before="120" w:after="0"/>
        <w:jc w:val="left"/>
        <w:rPr>
          <w:rFonts w:hint="eastAsia" w:ascii="宋体" w:hAnsi="宋体" w:eastAsia="宋体" w:cs="宋体"/>
          <w:color w:val="000000"/>
          <w:sz w:val="28"/>
        </w:rPr>
      </w:pPr>
    </w:p>
    <w:p w14:paraId="441608AA">
      <w:pPr>
        <w:pStyle w:val="4"/>
        <w:rPr>
          <w:rFonts w:hint="eastAsia" w:ascii="宋体" w:hAnsi="宋体" w:eastAsia="宋体" w:cs="宋体"/>
        </w:rPr>
      </w:pPr>
      <w:r>
        <w:rPr>
          <w:rFonts w:ascii="宋体" w:hAnsi="宋体" w:eastAsia="宋体" w:cs="宋体"/>
        </w:rPr>
        <w:t>6.中标</w:t>
      </w:r>
    </w:p>
    <w:p w14:paraId="1C574737">
      <w:pPr>
        <w:spacing w:before="120" w:after="0"/>
        <w:jc w:val="left"/>
        <w:rPr>
          <w:rFonts w:hint="eastAsia" w:ascii="宋体" w:hAnsi="宋体" w:eastAsia="宋体" w:cs="宋体"/>
          <w:color w:val="000000"/>
          <w:sz w:val="28"/>
        </w:rPr>
      </w:pPr>
      <w:r>
        <w:rPr>
          <w:rFonts w:ascii="宋体" w:hAnsi="宋体" w:eastAsia="宋体" w:cs="宋体"/>
          <w:color w:val="000000"/>
          <w:sz w:val="28"/>
        </w:rPr>
        <w:t>6.1定标后 7 天内发出中标通知书，中标通知书将成为合同的组成部分。中标人自收到中标通知书之日起，应在 5 日内与招标人正式签订</w:t>
      </w:r>
      <w:r>
        <w:rPr>
          <w:rFonts w:hint="eastAsia" w:ascii="宋体" w:hAnsi="宋体" w:eastAsia="宋体" w:cs="宋体"/>
          <w:color w:val="000000"/>
          <w:sz w:val="28"/>
        </w:rPr>
        <w:t>8月Q世纪：量子物理百年科普展</w:t>
      </w:r>
      <w:r>
        <w:rPr>
          <w:rFonts w:ascii="宋体" w:hAnsi="宋体" w:eastAsia="宋体" w:cs="宋体"/>
          <w:color w:val="000000"/>
          <w:sz w:val="28"/>
        </w:rPr>
        <w:t>合同。若中标人在规定时间未履行合同签约手续，招标人将重新确定中标人。</w:t>
      </w:r>
    </w:p>
    <w:p w14:paraId="5B53BA35">
      <w:pPr>
        <w:spacing w:before="120" w:after="0"/>
        <w:jc w:val="left"/>
        <w:rPr>
          <w:rFonts w:hint="eastAsia" w:ascii="宋体" w:hAnsi="宋体" w:eastAsia="宋体" w:cs="宋体"/>
          <w:color w:val="000000"/>
          <w:sz w:val="28"/>
        </w:rPr>
      </w:pPr>
      <w:r>
        <w:rPr>
          <w:rFonts w:ascii="宋体" w:hAnsi="宋体" w:eastAsia="宋体" w:cs="宋体"/>
          <w:color w:val="000000"/>
          <w:sz w:val="28"/>
        </w:rPr>
        <w:t>6.2中标通知书将明确招标人对中标人按照合同要求，完成项目</w:t>
      </w:r>
      <w:r>
        <w:rPr>
          <w:rFonts w:hint="eastAsia" w:ascii="宋体" w:hAnsi="宋体" w:eastAsia="宋体" w:cs="宋体"/>
          <w:color w:val="000000"/>
          <w:sz w:val="28"/>
        </w:rPr>
        <w:t>8月Q世纪：量子物理百年科普展</w:t>
      </w:r>
      <w:r>
        <w:rPr>
          <w:rFonts w:ascii="宋体" w:hAnsi="宋体" w:eastAsia="宋体" w:cs="宋体"/>
          <w:color w:val="000000"/>
          <w:sz w:val="28"/>
        </w:rPr>
        <w:t>的价格、工期、质量等。</w:t>
      </w:r>
    </w:p>
    <w:p w14:paraId="361B6A0E">
      <w:pPr>
        <w:spacing w:before="120" w:after="0"/>
        <w:jc w:val="left"/>
        <w:rPr>
          <w:rFonts w:hint="eastAsia" w:ascii="宋体" w:hAnsi="宋体" w:eastAsia="宋体" w:cs="宋体"/>
          <w:color w:val="000000"/>
          <w:sz w:val="28"/>
        </w:rPr>
      </w:pPr>
      <w:r>
        <w:rPr>
          <w:rFonts w:ascii="宋体" w:hAnsi="宋体" w:eastAsia="宋体" w:cs="宋体"/>
          <w:color w:val="000000"/>
          <w:sz w:val="28"/>
        </w:rPr>
        <w:t>6.3中标人收到中标通知书后，需立即开始</w:t>
      </w:r>
      <w:r>
        <w:rPr>
          <w:rFonts w:hint="eastAsia" w:ascii="宋体" w:hAnsi="宋体" w:eastAsia="宋体" w:cs="宋体"/>
          <w:color w:val="000000"/>
          <w:sz w:val="28"/>
        </w:rPr>
        <w:t>8月Q世纪：量子物理百年科普展</w:t>
      </w:r>
      <w:r>
        <w:rPr>
          <w:rFonts w:ascii="宋体" w:hAnsi="宋体" w:eastAsia="宋体" w:cs="宋体"/>
          <w:color w:val="000000"/>
          <w:sz w:val="28"/>
        </w:rPr>
        <w:t>服务工作。</w:t>
      </w:r>
    </w:p>
    <w:p w14:paraId="54C07D04">
      <w:pPr>
        <w:spacing w:before="120" w:after="0"/>
        <w:jc w:val="left"/>
        <w:rPr>
          <w:rFonts w:hint="eastAsia" w:ascii="宋体" w:hAnsi="宋体" w:eastAsia="宋体" w:cs="宋体"/>
          <w:color w:val="000000"/>
          <w:sz w:val="28"/>
        </w:rPr>
      </w:pPr>
      <w:r>
        <w:rPr>
          <w:rFonts w:ascii="宋体" w:hAnsi="宋体" w:eastAsia="宋体" w:cs="宋体"/>
          <w:color w:val="000000"/>
          <w:sz w:val="28"/>
        </w:rPr>
        <w:t>6.4中标通知书发出之后，招标人若查实中标人存在下列行为之一，仍然可以废除授标：</w:t>
      </w:r>
    </w:p>
    <w:p w14:paraId="7788EBCD">
      <w:pPr>
        <w:numPr>
          <w:ilvl w:val="0"/>
          <w:numId w:val="7"/>
        </w:numPr>
        <w:spacing w:before="120" w:after="0"/>
        <w:jc w:val="left"/>
        <w:rPr>
          <w:rFonts w:hint="eastAsia" w:ascii="宋体" w:hAnsi="宋体" w:eastAsia="宋体" w:cs="宋体"/>
          <w:color w:val="000000"/>
          <w:sz w:val="28"/>
        </w:rPr>
      </w:pPr>
      <w:r>
        <w:rPr>
          <w:rFonts w:ascii="宋体" w:hAnsi="宋体" w:eastAsia="宋体" w:cs="宋体"/>
          <w:color w:val="000000"/>
          <w:sz w:val="28"/>
        </w:rPr>
        <w:t>中标人拒绝修改、完善中标方案；</w:t>
      </w:r>
    </w:p>
    <w:p w14:paraId="5ACB0025">
      <w:pPr>
        <w:numPr>
          <w:ilvl w:val="0"/>
          <w:numId w:val="7"/>
        </w:numPr>
        <w:spacing w:before="120" w:after="0"/>
        <w:jc w:val="left"/>
        <w:rPr>
          <w:rFonts w:hint="eastAsia" w:ascii="宋体" w:hAnsi="宋体" w:eastAsia="宋体" w:cs="宋体"/>
          <w:color w:val="000000"/>
          <w:sz w:val="28"/>
        </w:rPr>
      </w:pPr>
      <w:r>
        <w:rPr>
          <w:rFonts w:ascii="宋体" w:hAnsi="宋体" w:eastAsia="宋体" w:cs="宋体"/>
          <w:color w:val="000000"/>
          <w:sz w:val="28"/>
        </w:rPr>
        <w:t>弄虚作假或与其他投标人串通骗取中标；</w:t>
      </w:r>
    </w:p>
    <w:p w14:paraId="38D18234">
      <w:pPr>
        <w:numPr>
          <w:ilvl w:val="0"/>
          <w:numId w:val="7"/>
        </w:numPr>
        <w:spacing w:before="120" w:after="0"/>
        <w:jc w:val="left"/>
        <w:rPr>
          <w:rFonts w:hint="eastAsia" w:ascii="宋体" w:hAnsi="宋体" w:eastAsia="宋体" w:cs="宋体"/>
          <w:color w:val="000000"/>
          <w:sz w:val="28"/>
        </w:rPr>
      </w:pPr>
      <w:r>
        <w:rPr>
          <w:rFonts w:ascii="宋体" w:hAnsi="宋体" w:eastAsia="宋体" w:cs="宋体"/>
          <w:color w:val="000000"/>
          <w:sz w:val="28"/>
        </w:rPr>
        <w:t>在投标有效期终止之前撤回投标文件；</w:t>
      </w:r>
    </w:p>
    <w:p w14:paraId="587CDAE8">
      <w:pPr>
        <w:numPr>
          <w:ilvl w:val="0"/>
          <w:numId w:val="7"/>
        </w:numPr>
        <w:spacing w:before="120" w:after="0"/>
        <w:jc w:val="left"/>
        <w:rPr>
          <w:rFonts w:hint="eastAsia" w:ascii="宋体" w:hAnsi="宋体" w:eastAsia="宋体" w:cs="宋体"/>
          <w:color w:val="000000"/>
          <w:sz w:val="28"/>
        </w:rPr>
      </w:pPr>
      <w:r>
        <w:rPr>
          <w:rFonts w:ascii="宋体" w:hAnsi="宋体" w:eastAsia="宋体" w:cs="宋体"/>
          <w:color w:val="000000"/>
          <w:sz w:val="28"/>
        </w:rPr>
        <w:t>因中标人过错而未能按照规定与招标人签订</w:t>
      </w:r>
      <w:r>
        <w:rPr>
          <w:rFonts w:hint="eastAsia" w:ascii="宋体" w:hAnsi="宋体" w:eastAsia="宋体" w:cs="宋体"/>
          <w:color w:val="000000"/>
          <w:sz w:val="28"/>
        </w:rPr>
        <w:t>8月Q世纪：量子物理百年科普展</w:t>
      </w:r>
      <w:r>
        <w:rPr>
          <w:rFonts w:ascii="宋体" w:hAnsi="宋体" w:eastAsia="宋体" w:cs="宋体"/>
          <w:color w:val="000000"/>
          <w:sz w:val="28"/>
        </w:rPr>
        <w:t>合同；</w:t>
      </w:r>
    </w:p>
    <w:p w14:paraId="48E6E433">
      <w:pPr>
        <w:numPr>
          <w:ilvl w:val="0"/>
          <w:numId w:val="7"/>
        </w:numPr>
        <w:spacing w:before="120" w:after="0"/>
        <w:jc w:val="left"/>
        <w:rPr>
          <w:rFonts w:hint="eastAsia" w:ascii="宋体" w:hAnsi="宋体" w:eastAsia="宋体" w:cs="宋体"/>
          <w:color w:val="000000"/>
          <w:sz w:val="28"/>
        </w:rPr>
      </w:pPr>
      <w:r>
        <w:rPr>
          <w:rFonts w:ascii="宋体" w:hAnsi="宋体" w:eastAsia="宋体" w:cs="宋体"/>
          <w:color w:val="000000"/>
          <w:sz w:val="28"/>
        </w:rPr>
        <w:t>因中标人过错而未能按照规定向招标人提交履约保证；</w:t>
      </w:r>
    </w:p>
    <w:p w14:paraId="5CCD6446">
      <w:pPr>
        <w:numPr>
          <w:ilvl w:val="0"/>
          <w:numId w:val="7"/>
        </w:numPr>
        <w:spacing w:before="120" w:after="0"/>
        <w:jc w:val="left"/>
        <w:rPr>
          <w:rFonts w:hint="eastAsia" w:ascii="宋体" w:hAnsi="宋体" w:eastAsia="宋体" w:cs="宋体"/>
          <w:color w:val="000000"/>
          <w:sz w:val="28"/>
        </w:rPr>
      </w:pPr>
      <w:r>
        <w:rPr>
          <w:rFonts w:ascii="宋体" w:hAnsi="宋体" w:eastAsia="宋体" w:cs="宋体"/>
          <w:color w:val="000000"/>
          <w:sz w:val="28"/>
        </w:rPr>
        <w:t>法律法规规定的其他明显损害招标人利益和公共利益的情形。</w:t>
      </w:r>
    </w:p>
    <w:p w14:paraId="4E8CB2E9">
      <w:pPr>
        <w:spacing w:before="120" w:after="0"/>
        <w:jc w:val="left"/>
        <w:rPr>
          <w:rFonts w:hint="eastAsia" w:ascii="宋体" w:hAnsi="宋体" w:eastAsia="宋体" w:cs="宋体"/>
          <w:color w:val="000000"/>
          <w:sz w:val="28"/>
        </w:rPr>
      </w:pPr>
      <w:r>
        <w:rPr>
          <w:rFonts w:ascii="宋体" w:hAnsi="宋体" w:eastAsia="宋体" w:cs="宋体"/>
          <w:color w:val="000000"/>
          <w:sz w:val="28"/>
        </w:rPr>
        <w:t>6.5中标人被废除授标，招标人有权选择另一中标候选人作为中标人或重新组织招标。</w:t>
      </w:r>
    </w:p>
    <w:p w14:paraId="06B87A8D">
      <w:pPr>
        <w:spacing w:before="120" w:after="0"/>
        <w:jc w:val="left"/>
        <w:rPr>
          <w:rFonts w:hint="eastAsia" w:ascii="宋体" w:hAnsi="宋体" w:eastAsia="宋体" w:cs="宋体"/>
          <w:color w:val="000000"/>
          <w:sz w:val="28"/>
        </w:rPr>
      </w:pPr>
      <w:r>
        <w:rPr>
          <w:rFonts w:ascii="宋体" w:hAnsi="宋体" w:eastAsia="宋体" w:cs="宋体"/>
          <w:color w:val="000000"/>
          <w:sz w:val="28"/>
        </w:rPr>
        <w:t>6.6招标人不支付补偿费。中标人未经招标人许可，不得将中标方案成果整体用于其他相同或类似项目的投标。</w:t>
      </w:r>
    </w:p>
    <w:p w14:paraId="6E4227E5">
      <w:pPr>
        <w:spacing w:before="120" w:after="0"/>
        <w:jc w:val="left"/>
        <w:rPr>
          <w:rFonts w:hint="eastAsia" w:ascii="宋体" w:hAnsi="宋体" w:eastAsia="宋体" w:cs="宋体"/>
          <w:color w:val="000000"/>
          <w:sz w:val="28"/>
        </w:rPr>
      </w:pPr>
    </w:p>
    <w:p w14:paraId="7B0170A0">
      <w:pPr>
        <w:pStyle w:val="4"/>
        <w:rPr>
          <w:rFonts w:hint="eastAsia" w:ascii="宋体" w:hAnsi="宋体" w:eastAsia="宋体" w:cs="宋体"/>
        </w:rPr>
      </w:pPr>
      <w:r>
        <w:rPr>
          <w:rFonts w:ascii="宋体" w:hAnsi="宋体" w:eastAsia="宋体" w:cs="宋体"/>
        </w:rPr>
        <w:t>7.纪律和监督</w:t>
      </w:r>
    </w:p>
    <w:p w14:paraId="014AB4D2">
      <w:pPr>
        <w:snapToGrid w:val="0"/>
        <w:spacing w:before="0" w:after="0" w:line="360" w:lineRule="auto"/>
        <w:rPr>
          <w:rFonts w:hint="eastAsia" w:ascii="宋体" w:hAnsi="宋体" w:eastAsia="宋体" w:cs="宋体"/>
          <w:color w:val="000000"/>
          <w:sz w:val="28"/>
        </w:rPr>
      </w:pPr>
      <w:r>
        <w:rPr>
          <w:rFonts w:ascii="宋体" w:hAnsi="宋体" w:eastAsia="宋体" w:cs="宋体"/>
          <w:color w:val="000000"/>
          <w:sz w:val="28"/>
        </w:rPr>
        <w:t>所有投标公司不得向与其有实际或潜在业务关系的员工或其家属提供任何酬金、礼物或其它有形或无形的利益，任何此类行为均被视为商业贿赂行为，一经发现将立即取消其此次的合作资格。</w:t>
      </w:r>
    </w:p>
    <w:p w14:paraId="2A079829">
      <w:pPr>
        <w:snapToGrid w:val="0"/>
        <w:spacing w:before="0" w:after="0" w:line="360" w:lineRule="auto"/>
        <w:rPr>
          <w:rFonts w:hint="eastAsia" w:ascii="宋体" w:hAnsi="宋体" w:eastAsia="宋体" w:cs="宋体"/>
          <w:b/>
          <w:color w:val="000000"/>
          <w:sz w:val="28"/>
        </w:rPr>
      </w:pPr>
    </w:p>
    <w:p w14:paraId="00651565">
      <w:pPr>
        <w:pStyle w:val="4"/>
        <w:rPr>
          <w:rFonts w:hint="eastAsia" w:ascii="宋体" w:hAnsi="宋体" w:eastAsia="宋体" w:cs="宋体"/>
        </w:rPr>
      </w:pPr>
      <w:r>
        <w:rPr>
          <w:rFonts w:ascii="宋体" w:hAnsi="宋体" w:eastAsia="宋体" w:cs="宋体"/>
        </w:rPr>
        <w:t>8.保密</w:t>
      </w:r>
    </w:p>
    <w:p w14:paraId="40F28105">
      <w:pPr>
        <w:snapToGrid w:val="0"/>
        <w:spacing w:before="0" w:after="0" w:line="360" w:lineRule="auto"/>
        <w:rPr>
          <w:rFonts w:hint="eastAsia" w:ascii="宋体" w:hAnsi="宋体" w:eastAsia="宋体" w:cs="宋体"/>
          <w:color w:val="000000"/>
          <w:sz w:val="28"/>
        </w:rPr>
      </w:pPr>
      <w:r>
        <w:rPr>
          <w:rFonts w:ascii="宋体" w:hAnsi="宋体" w:eastAsia="宋体" w:cs="宋体"/>
          <w:color w:val="000000"/>
          <w:sz w:val="28"/>
        </w:rPr>
        <w:t>所有投标方不得将此次投标的相关细节透露给第三方，否则发标方有权追究相关责任人的法律责任。</w:t>
      </w:r>
    </w:p>
    <w:p w14:paraId="324C7D4A">
      <w:pPr>
        <w:snapToGrid w:val="0"/>
        <w:spacing w:before="0" w:after="0" w:line="360" w:lineRule="auto"/>
        <w:rPr>
          <w:rFonts w:hint="eastAsia" w:ascii="宋体" w:hAnsi="宋体" w:eastAsia="宋体" w:cs="宋体"/>
          <w:b/>
          <w:color w:val="000000"/>
          <w:sz w:val="28"/>
        </w:rPr>
      </w:pPr>
    </w:p>
    <w:p w14:paraId="3B6F4F9B">
      <w:pPr>
        <w:pStyle w:val="4"/>
        <w:rPr>
          <w:rFonts w:hint="eastAsia" w:ascii="宋体" w:hAnsi="宋体" w:eastAsia="宋体" w:cs="宋体"/>
        </w:rPr>
      </w:pPr>
      <w:r>
        <w:rPr>
          <w:rFonts w:ascii="宋体" w:hAnsi="宋体" w:eastAsia="宋体" w:cs="宋体"/>
        </w:rPr>
        <w:t>9.附件目录</w:t>
      </w:r>
    </w:p>
    <w:p w14:paraId="384DD157">
      <w:pPr>
        <w:snapToGrid w:val="0"/>
        <w:spacing w:before="0" w:after="0" w:line="360" w:lineRule="auto"/>
        <w:rPr>
          <w:rFonts w:hint="eastAsia" w:ascii="宋体" w:hAnsi="宋体" w:eastAsia="宋体" w:cs="宋体"/>
          <w:color w:val="auto"/>
          <w:sz w:val="28"/>
        </w:rPr>
      </w:pPr>
      <w:r>
        <w:rPr>
          <w:rFonts w:ascii="宋体" w:hAnsi="宋体" w:eastAsia="宋体" w:cs="宋体"/>
          <w:color w:val="auto"/>
          <w:sz w:val="28"/>
        </w:rPr>
        <w:t>附件一：</w:t>
      </w:r>
      <w:r>
        <w:rPr>
          <w:rFonts w:hint="eastAsia" w:ascii="宋体" w:hAnsi="宋体" w:eastAsia="宋体" w:cs="宋体"/>
          <w:color w:val="auto"/>
          <w:sz w:val="28"/>
        </w:rPr>
        <w:t>8月Q世纪：量子物理百年科普展</w:t>
      </w:r>
      <w:r>
        <w:rPr>
          <w:rFonts w:hint="eastAsia" w:ascii="宋体" w:hAnsi="宋体" w:eastAsia="宋体" w:cs="宋体"/>
          <w:color w:val="auto"/>
          <w:sz w:val="28"/>
          <w:lang w:val="en-US" w:eastAsia="zh-CN"/>
        </w:rPr>
        <w:t>方案</w:t>
      </w:r>
      <w:r>
        <w:rPr>
          <w:rFonts w:ascii="宋体" w:hAnsi="宋体" w:eastAsia="宋体" w:cs="宋体"/>
          <w:color w:val="auto"/>
          <w:sz w:val="28"/>
        </w:rPr>
        <w:t>（招标版）</w:t>
      </w:r>
    </w:p>
    <w:p w14:paraId="1C64BCE4">
      <w:pPr>
        <w:snapToGrid w:val="0"/>
        <w:spacing w:before="0" w:after="0" w:line="360" w:lineRule="auto"/>
        <w:rPr>
          <w:rFonts w:hint="eastAsia" w:ascii="宋体" w:hAnsi="宋体" w:eastAsia="宋体" w:cs="宋体"/>
          <w:color w:val="auto"/>
          <w:sz w:val="28"/>
        </w:rPr>
      </w:pPr>
      <w:r>
        <w:rPr>
          <w:rFonts w:ascii="宋体" w:hAnsi="宋体" w:eastAsia="宋体" w:cs="宋体"/>
          <w:color w:val="auto"/>
          <w:sz w:val="28"/>
        </w:rPr>
        <w:t>附件二：法定代表人资格证明书</w:t>
      </w:r>
    </w:p>
    <w:p w14:paraId="5FAF38D7">
      <w:pPr>
        <w:snapToGrid w:val="0"/>
        <w:spacing w:before="0" w:after="0" w:line="360" w:lineRule="auto"/>
        <w:rPr>
          <w:rFonts w:hint="eastAsia" w:ascii="宋体" w:hAnsi="宋体" w:eastAsia="宋体" w:cs="宋体"/>
          <w:color w:val="auto"/>
          <w:sz w:val="28"/>
        </w:rPr>
      </w:pPr>
      <w:r>
        <w:rPr>
          <w:rFonts w:ascii="宋体" w:hAnsi="宋体" w:eastAsia="宋体" w:cs="宋体"/>
          <w:color w:val="auto"/>
          <w:sz w:val="28"/>
        </w:rPr>
        <w:t>附件三：投标文件签署授权委托书</w:t>
      </w:r>
    </w:p>
    <w:p w14:paraId="60246AEB">
      <w:pPr>
        <w:snapToGrid w:val="0"/>
        <w:spacing w:before="0" w:after="0" w:line="360" w:lineRule="auto"/>
        <w:rPr>
          <w:rFonts w:hint="eastAsia" w:ascii="宋体" w:hAnsi="宋体" w:eastAsia="宋体" w:cs="宋体"/>
          <w:color w:val="auto"/>
          <w:sz w:val="28"/>
        </w:rPr>
      </w:pPr>
      <w:r>
        <w:rPr>
          <w:rFonts w:ascii="宋体" w:hAnsi="宋体" w:eastAsia="宋体" w:cs="宋体"/>
          <w:color w:val="auto"/>
          <w:sz w:val="28"/>
        </w:rPr>
        <w:t>附件四：投标函</w:t>
      </w:r>
    </w:p>
    <w:p w14:paraId="702698E7">
      <w:pPr>
        <w:snapToGrid w:val="0"/>
        <w:spacing w:before="0" w:after="0" w:line="360" w:lineRule="auto"/>
        <w:rPr>
          <w:rFonts w:hint="eastAsia" w:ascii="宋体" w:hAnsi="宋体" w:eastAsia="宋体" w:cs="宋体"/>
          <w:color w:val="auto"/>
          <w:sz w:val="28"/>
        </w:rPr>
      </w:pPr>
      <w:r>
        <w:rPr>
          <w:rFonts w:ascii="宋体" w:hAnsi="宋体" w:eastAsia="宋体" w:cs="宋体"/>
          <w:color w:val="auto"/>
          <w:sz w:val="28"/>
        </w:rPr>
        <w:t>附件五：投标承诺书</w:t>
      </w:r>
    </w:p>
    <w:p w14:paraId="13C4C677">
      <w:pPr>
        <w:snapToGrid w:val="0"/>
        <w:spacing w:before="0" w:after="0" w:line="360" w:lineRule="auto"/>
        <w:rPr>
          <w:rFonts w:hint="eastAsia" w:ascii="宋体" w:hAnsi="宋体" w:eastAsia="宋体" w:cs="宋体"/>
          <w:color w:val="auto"/>
          <w:sz w:val="28"/>
        </w:rPr>
      </w:pPr>
      <w:r>
        <w:rPr>
          <w:rFonts w:ascii="宋体" w:hAnsi="宋体" w:eastAsia="宋体" w:cs="宋体"/>
          <w:color w:val="auto"/>
          <w:sz w:val="28"/>
        </w:rPr>
        <w:t>附件六：项目成员业绩一览表</w:t>
      </w:r>
    </w:p>
    <w:p w14:paraId="7EFE701C">
      <w:pPr>
        <w:snapToGrid w:val="0"/>
        <w:spacing w:before="0" w:after="0" w:line="360" w:lineRule="auto"/>
        <w:rPr>
          <w:rFonts w:hint="eastAsia" w:ascii="宋体" w:hAnsi="宋体" w:eastAsia="宋体" w:cs="宋体"/>
          <w:color w:val="auto"/>
          <w:sz w:val="28"/>
        </w:rPr>
      </w:pPr>
      <w:r>
        <w:rPr>
          <w:rFonts w:ascii="宋体" w:hAnsi="宋体" w:eastAsia="宋体" w:cs="宋体"/>
          <w:color w:val="auto"/>
          <w:sz w:val="28"/>
        </w:rPr>
        <w:t>附件七：URS响应表</w:t>
      </w:r>
    </w:p>
    <w:p w14:paraId="021FDACF">
      <w:pPr>
        <w:snapToGrid w:val="0"/>
        <w:spacing w:before="0" w:after="0" w:line="360" w:lineRule="auto"/>
        <w:rPr>
          <w:rFonts w:hint="eastAsia" w:ascii="宋体" w:hAnsi="宋体" w:eastAsia="宋体" w:cs="宋体"/>
          <w:b/>
          <w:color w:val="000000"/>
          <w:sz w:val="28"/>
        </w:rPr>
      </w:pPr>
    </w:p>
    <w:p w14:paraId="1B19FBC3">
      <w:pPr>
        <w:spacing w:before="0" w:after="0" w:line="360" w:lineRule="auto"/>
        <w:rPr>
          <w:rFonts w:hint="eastAsia" w:ascii="宋体" w:hAnsi="宋体" w:eastAsia="宋体" w:cs="宋体"/>
          <w:color w:val="000000"/>
          <w:sz w:val="28"/>
        </w:rPr>
      </w:pPr>
    </w:p>
    <w:p w14:paraId="4EDC2309">
      <w:pPr>
        <w:spacing w:before="0" w:after="0" w:line="360" w:lineRule="auto"/>
        <w:rPr>
          <w:rFonts w:hint="eastAsia" w:ascii="宋体" w:hAnsi="宋体" w:eastAsia="宋体" w:cs="宋体"/>
          <w:color w:val="000000"/>
          <w:sz w:val="28"/>
        </w:rPr>
      </w:pPr>
    </w:p>
    <w:p w14:paraId="6E38EDC7">
      <w:pPr>
        <w:spacing w:before="0" w:after="0" w:line="360" w:lineRule="auto"/>
        <w:rPr>
          <w:rFonts w:hint="eastAsia" w:ascii="宋体" w:hAnsi="宋体" w:eastAsia="宋体" w:cs="宋体"/>
          <w:color w:val="000000"/>
          <w:sz w:val="28"/>
        </w:rPr>
      </w:pPr>
    </w:p>
    <w:p w14:paraId="1906DF82">
      <w:pPr>
        <w:spacing w:before="0" w:after="0" w:line="360" w:lineRule="auto"/>
        <w:rPr>
          <w:rFonts w:hint="eastAsia" w:ascii="宋体" w:hAnsi="宋体" w:eastAsia="宋体" w:cs="宋体"/>
          <w:color w:val="000000"/>
          <w:sz w:val="28"/>
        </w:rPr>
      </w:pPr>
    </w:p>
    <w:p w14:paraId="37B94D94">
      <w:pPr>
        <w:spacing w:before="0" w:after="0" w:line="360" w:lineRule="auto"/>
        <w:rPr>
          <w:rFonts w:hint="eastAsia" w:ascii="宋体" w:hAnsi="宋体" w:eastAsia="宋体" w:cs="宋体"/>
          <w:color w:val="000000"/>
          <w:sz w:val="28"/>
        </w:rPr>
      </w:pPr>
    </w:p>
    <w:p w14:paraId="5AE1E7F4">
      <w:pPr>
        <w:spacing w:before="0" w:after="0" w:line="360" w:lineRule="auto"/>
        <w:rPr>
          <w:rFonts w:hint="eastAsia" w:ascii="宋体" w:hAnsi="宋体" w:eastAsia="宋体" w:cs="宋体"/>
          <w:color w:val="000000"/>
          <w:sz w:val="28"/>
        </w:rPr>
      </w:pPr>
    </w:p>
    <w:p w14:paraId="278C5688">
      <w:pPr>
        <w:spacing w:before="0" w:after="0" w:line="360" w:lineRule="auto"/>
        <w:rPr>
          <w:rFonts w:hint="eastAsia" w:ascii="宋体" w:hAnsi="宋体" w:eastAsia="宋体" w:cs="宋体"/>
          <w:color w:val="000000"/>
          <w:sz w:val="28"/>
        </w:rPr>
      </w:pPr>
    </w:p>
    <w:p w14:paraId="4DE05F8B">
      <w:pPr>
        <w:spacing w:before="0" w:after="0" w:line="360" w:lineRule="auto"/>
        <w:rPr>
          <w:rFonts w:hint="eastAsia" w:ascii="宋体" w:hAnsi="宋体" w:eastAsia="宋体" w:cs="宋体"/>
          <w:color w:val="000000"/>
          <w:sz w:val="28"/>
        </w:rPr>
      </w:pPr>
    </w:p>
    <w:p w14:paraId="33BE43EB">
      <w:pPr>
        <w:spacing w:before="0" w:after="0" w:line="360" w:lineRule="auto"/>
        <w:rPr>
          <w:rFonts w:hint="eastAsia" w:ascii="宋体" w:hAnsi="宋体" w:eastAsia="宋体" w:cs="宋体"/>
          <w:color w:val="000000"/>
          <w:sz w:val="28"/>
        </w:rPr>
      </w:pPr>
    </w:p>
    <w:p w14:paraId="254061D8">
      <w:pPr>
        <w:spacing w:before="0" w:after="0" w:line="360" w:lineRule="auto"/>
        <w:rPr>
          <w:rFonts w:hint="eastAsia" w:ascii="宋体" w:hAnsi="宋体" w:eastAsia="宋体" w:cs="宋体"/>
          <w:color w:val="000000"/>
          <w:sz w:val="28"/>
        </w:rPr>
      </w:pPr>
    </w:p>
    <w:p w14:paraId="31F65C48">
      <w:pPr>
        <w:spacing w:before="0" w:after="0" w:line="360" w:lineRule="auto"/>
        <w:rPr>
          <w:rFonts w:hint="eastAsia" w:ascii="宋体" w:hAnsi="宋体" w:eastAsia="宋体" w:cs="宋体"/>
          <w:color w:val="000000"/>
          <w:sz w:val="28"/>
        </w:rPr>
      </w:pPr>
    </w:p>
    <w:p w14:paraId="3EE0EAC2">
      <w:pPr>
        <w:spacing w:before="0" w:after="0" w:line="360" w:lineRule="auto"/>
        <w:rPr>
          <w:rFonts w:hint="eastAsia" w:ascii="宋体" w:hAnsi="宋体" w:eastAsia="宋体" w:cs="宋体"/>
          <w:color w:val="000000"/>
          <w:sz w:val="28"/>
        </w:rPr>
      </w:pPr>
    </w:p>
    <w:sectPr>
      <w:pgSz w:w="11906" w:h="16838"/>
      <w:pgMar w:top="1440" w:right="1797" w:bottom="1440" w:left="1797"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Monaco">
    <w:panose1 w:val="00000000000000000000"/>
    <w:charset w:val="00"/>
    <w:family w:val="auto"/>
    <w:pitch w:val="default"/>
    <w:sig w:usb0="A00002FF" w:usb1="500039FB" w:usb2="00000000" w:usb3="00000000" w:csb0="20000197" w:csb1="4F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03656"/>
    <w:multiLevelType w:val="multilevel"/>
    <w:tmpl w:val="0B503656"/>
    <w:lvl w:ilvl="0" w:tentative="0">
      <w:start w:val="1"/>
      <w:numFmt w:val="bullet"/>
      <w:lvlText w:val=""/>
      <w:lvlJc w:val="left"/>
      <w:pPr>
        <w:ind w:left="336" w:hanging="336"/>
      </w:pPr>
      <w:rPr>
        <w:rFonts w:hint="default" w:ascii="Wingdings" w:hAnsi="Wingdings" w:cs="Wingdings"/>
      </w:rPr>
    </w:lvl>
    <w:lvl w:ilvl="1" w:tentative="0">
      <w:start w:val="1"/>
      <w:numFmt w:val="bullet"/>
      <w:lvlText w:val="¡"/>
      <w:lvlJc w:val="left"/>
      <w:pPr>
        <w:ind w:left="776" w:hanging="336"/>
      </w:pPr>
      <w:rPr>
        <w:rFonts w:hint="default" w:ascii="Wingdings" w:hAnsi="Wingdings" w:cs="Wingdings"/>
      </w:rPr>
    </w:lvl>
    <w:lvl w:ilvl="2" w:tentative="0">
      <w:start w:val="1"/>
      <w:numFmt w:val="bullet"/>
      <w:lvlText w:val=""/>
      <w:lvlJc w:val="left"/>
      <w:pPr>
        <w:ind w:left="1216" w:hanging="336"/>
      </w:pPr>
      <w:rPr>
        <w:rFonts w:hint="default" w:ascii="Wingdings" w:hAnsi="Wingdings" w:cs="Wingdings"/>
      </w:rPr>
    </w:lvl>
    <w:lvl w:ilvl="3" w:tentative="0">
      <w:start w:val="1"/>
      <w:numFmt w:val="bullet"/>
      <w:lvlText w:val=""/>
      <w:lvlJc w:val="left"/>
      <w:pPr>
        <w:ind w:left="1656" w:hanging="336"/>
      </w:pPr>
      <w:rPr>
        <w:rFonts w:hint="default" w:ascii="Wingdings" w:hAnsi="Wingdings" w:cs="Wingdings"/>
      </w:rPr>
    </w:lvl>
    <w:lvl w:ilvl="4" w:tentative="0">
      <w:start w:val="1"/>
      <w:numFmt w:val="bullet"/>
      <w:lvlText w:val="¡"/>
      <w:lvlJc w:val="left"/>
      <w:pPr>
        <w:ind w:left="2096" w:hanging="336"/>
      </w:pPr>
      <w:rPr>
        <w:rFonts w:hint="default" w:ascii="Wingdings" w:hAnsi="Wingdings" w:cs="Wingdings"/>
      </w:rPr>
    </w:lvl>
    <w:lvl w:ilvl="5" w:tentative="0">
      <w:start w:val="1"/>
      <w:numFmt w:val="bullet"/>
      <w:lvlText w:val=""/>
      <w:lvlJc w:val="left"/>
      <w:pPr>
        <w:ind w:left="2536" w:hanging="336"/>
      </w:pPr>
      <w:rPr>
        <w:rFonts w:hint="default" w:ascii="Wingdings" w:hAnsi="Wingdings" w:cs="Wingdings"/>
      </w:rPr>
    </w:lvl>
    <w:lvl w:ilvl="6" w:tentative="0">
      <w:start w:val="1"/>
      <w:numFmt w:val="bullet"/>
      <w:lvlText w:val=""/>
      <w:lvlJc w:val="left"/>
      <w:pPr>
        <w:ind w:left="2976" w:hanging="336"/>
      </w:pPr>
      <w:rPr>
        <w:rFonts w:hint="default" w:ascii="Wingdings" w:hAnsi="Wingdings" w:cs="Wingdings"/>
      </w:rPr>
    </w:lvl>
    <w:lvl w:ilvl="7" w:tentative="0">
      <w:start w:val="1"/>
      <w:numFmt w:val="bullet"/>
      <w:lvlText w:val="¡"/>
      <w:lvlJc w:val="left"/>
      <w:pPr>
        <w:ind w:left="3416" w:hanging="336"/>
      </w:pPr>
      <w:rPr>
        <w:rFonts w:hint="default" w:ascii="Wingdings" w:hAnsi="Wingdings" w:cs="Wingdings"/>
      </w:rPr>
    </w:lvl>
    <w:lvl w:ilvl="8" w:tentative="0">
      <w:start w:val="1"/>
      <w:numFmt w:val="bullet"/>
      <w:lvlText w:val=""/>
      <w:lvlJc w:val="left"/>
      <w:pPr>
        <w:ind w:left="3856" w:hanging="336"/>
      </w:pPr>
      <w:rPr>
        <w:rFonts w:hint="default" w:ascii="Wingdings" w:hAnsi="Wingdings" w:cs="Wingdings"/>
      </w:rPr>
    </w:lvl>
  </w:abstractNum>
  <w:abstractNum w:abstractNumId="1">
    <w:nsid w:val="0BE8625A"/>
    <w:multiLevelType w:val="multilevel"/>
    <w:tmpl w:val="0BE8625A"/>
    <w:lvl w:ilvl="0" w:tentative="0">
      <w:start w:val="1"/>
      <w:numFmt w:val="bullet"/>
      <w:lvlText w:val=""/>
      <w:lvlJc w:val="left"/>
      <w:pPr>
        <w:ind w:left="336" w:hanging="336"/>
      </w:pPr>
      <w:rPr>
        <w:rFonts w:hint="default" w:ascii="Wingdings" w:hAnsi="Wingdings" w:cs="Wingdings"/>
      </w:rPr>
    </w:lvl>
    <w:lvl w:ilvl="1" w:tentative="0">
      <w:start w:val="1"/>
      <w:numFmt w:val="bullet"/>
      <w:lvlText w:val="¡"/>
      <w:lvlJc w:val="left"/>
      <w:pPr>
        <w:ind w:left="776" w:hanging="336"/>
      </w:pPr>
      <w:rPr>
        <w:rFonts w:hint="default" w:ascii="Wingdings" w:hAnsi="Wingdings" w:cs="Wingdings"/>
      </w:rPr>
    </w:lvl>
    <w:lvl w:ilvl="2" w:tentative="0">
      <w:start w:val="1"/>
      <w:numFmt w:val="bullet"/>
      <w:lvlText w:val=""/>
      <w:lvlJc w:val="left"/>
      <w:pPr>
        <w:ind w:left="1216" w:hanging="336"/>
      </w:pPr>
      <w:rPr>
        <w:rFonts w:hint="default" w:ascii="Wingdings" w:hAnsi="Wingdings" w:cs="Wingdings"/>
      </w:rPr>
    </w:lvl>
    <w:lvl w:ilvl="3" w:tentative="0">
      <w:start w:val="1"/>
      <w:numFmt w:val="bullet"/>
      <w:lvlText w:val=""/>
      <w:lvlJc w:val="left"/>
      <w:pPr>
        <w:ind w:left="1656" w:hanging="336"/>
      </w:pPr>
      <w:rPr>
        <w:rFonts w:hint="default" w:ascii="Wingdings" w:hAnsi="Wingdings" w:cs="Wingdings"/>
      </w:rPr>
    </w:lvl>
    <w:lvl w:ilvl="4" w:tentative="0">
      <w:start w:val="1"/>
      <w:numFmt w:val="bullet"/>
      <w:lvlText w:val="¡"/>
      <w:lvlJc w:val="left"/>
      <w:pPr>
        <w:ind w:left="2096" w:hanging="336"/>
      </w:pPr>
      <w:rPr>
        <w:rFonts w:hint="default" w:ascii="Wingdings" w:hAnsi="Wingdings" w:cs="Wingdings"/>
      </w:rPr>
    </w:lvl>
    <w:lvl w:ilvl="5" w:tentative="0">
      <w:start w:val="1"/>
      <w:numFmt w:val="bullet"/>
      <w:lvlText w:val=""/>
      <w:lvlJc w:val="left"/>
      <w:pPr>
        <w:ind w:left="2536" w:hanging="336"/>
      </w:pPr>
      <w:rPr>
        <w:rFonts w:hint="default" w:ascii="Wingdings" w:hAnsi="Wingdings" w:cs="Wingdings"/>
      </w:rPr>
    </w:lvl>
    <w:lvl w:ilvl="6" w:tentative="0">
      <w:start w:val="1"/>
      <w:numFmt w:val="bullet"/>
      <w:lvlText w:val=""/>
      <w:lvlJc w:val="left"/>
      <w:pPr>
        <w:ind w:left="2976" w:hanging="336"/>
      </w:pPr>
      <w:rPr>
        <w:rFonts w:hint="default" w:ascii="Wingdings" w:hAnsi="Wingdings" w:cs="Wingdings"/>
      </w:rPr>
    </w:lvl>
    <w:lvl w:ilvl="7" w:tentative="0">
      <w:start w:val="1"/>
      <w:numFmt w:val="bullet"/>
      <w:lvlText w:val="¡"/>
      <w:lvlJc w:val="left"/>
      <w:pPr>
        <w:ind w:left="3416" w:hanging="336"/>
      </w:pPr>
      <w:rPr>
        <w:rFonts w:hint="default" w:ascii="Wingdings" w:hAnsi="Wingdings" w:cs="Wingdings"/>
      </w:rPr>
    </w:lvl>
    <w:lvl w:ilvl="8" w:tentative="0">
      <w:start w:val="1"/>
      <w:numFmt w:val="bullet"/>
      <w:lvlText w:val=""/>
      <w:lvlJc w:val="left"/>
      <w:pPr>
        <w:ind w:left="3856" w:hanging="336"/>
      </w:pPr>
      <w:rPr>
        <w:rFonts w:hint="default" w:ascii="Wingdings" w:hAnsi="Wingdings" w:cs="Wingdings"/>
      </w:rPr>
    </w:lvl>
  </w:abstractNum>
  <w:abstractNum w:abstractNumId="2">
    <w:nsid w:val="0DEE0962"/>
    <w:multiLevelType w:val="multilevel"/>
    <w:tmpl w:val="0DEE0962"/>
    <w:lvl w:ilvl="0" w:tentative="0">
      <w:start w:val="1"/>
      <w:numFmt w:val="bullet"/>
      <w:lvlText w:val=""/>
      <w:lvlJc w:val="left"/>
      <w:pPr>
        <w:ind w:left="336" w:hanging="336"/>
      </w:pPr>
      <w:rPr>
        <w:rFonts w:hint="default" w:ascii="Wingdings" w:hAnsi="Wingdings" w:cs="Wingdings"/>
      </w:rPr>
    </w:lvl>
    <w:lvl w:ilvl="1" w:tentative="0">
      <w:start w:val="1"/>
      <w:numFmt w:val="bullet"/>
      <w:lvlText w:val="¡"/>
      <w:lvlJc w:val="left"/>
      <w:pPr>
        <w:ind w:left="776" w:hanging="336"/>
      </w:pPr>
      <w:rPr>
        <w:rFonts w:hint="default" w:ascii="Wingdings" w:hAnsi="Wingdings" w:cs="Wingdings"/>
      </w:rPr>
    </w:lvl>
    <w:lvl w:ilvl="2" w:tentative="0">
      <w:start w:val="1"/>
      <w:numFmt w:val="bullet"/>
      <w:lvlText w:val=""/>
      <w:lvlJc w:val="left"/>
      <w:pPr>
        <w:ind w:left="1216" w:hanging="336"/>
      </w:pPr>
      <w:rPr>
        <w:rFonts w:hint="default" w:ascii="Wingdings" w:hAnsi="Wingdings" w:cs="Wingdings"/>
      </w:rPr>
    </w:lvl>
    <w:lvl w:ilvl="3" w:tentative="0">
      <w:start w:val="1"/>
      <w:numFmt w:val="bullet"/>
      <w:lvlText w:val=""/>
      <w:lvlJc w:val="left"/>
      <w:pPr>
        <w:ind w:left="1656" w:hanging="336"/>
      </w:pPr>
      <w:rPr>
        <w:rFonts w:hint="default" w:ascii="Wingdings" w:hAnsi="Wingdings" w:cs="Wingdings"/>
      </w:rPr>
    </w:lvl>
    <w:lvl w:ilvl="4" w:tentative="0">
      <w:start w:val="1"/>
      <w:numFmt w:val="bullet"/>
      <w:lvlText w:val="¡"/>
      <w:lvlJc w:val="left"/>
      <w:pPr>
        <w:ind w:left="2096" w:hanging="336"/>
      </w:pPr>
      <w:rPr>
        <w:rFonts w:hint="default" w:ascii="Wingdings" w:hAnsi="Wingdings" w:cs="Wingdings"/>
      </w:rPr>
    </w:lvl>
    <w:lvl w:ilvl="5" w:tentative="0">
      <w:start w:val="1"/>
      <w:numFmt w:val="bullet"/>
      <w:lvlText w:val=""/>
      <w:lvlJc w:val="left"/>
      <w:pPr>
        <w:ind w:left="2536" w:hanging="336"/>
      </w:pPr>
      <w:rPr>
        <w:rFonts w:hint="default" w:ascii="Wingdings" w:hAnsi="Wingdings" w:cs="Wingdings"/>
      </w:rPr>
    </w:lvl>
    <w:lvl w:ilvl="6" w:tentative="0">
      <w:start w:val="1"/>
      <w:numFmt w:val="bullet"/>
      <w:lvlText w:val=""/>
      <w:lvlJc w:val="left"/>
      <w:pPr>
        <w:ind w:left="2976" w:hanging="336"/>
      </w:pPr>
      <w:rPr>
        <w:rFonts w:hint="default" w:ascii="Wingdings" w:hAnsi="Wingdings" w:cs="Wingdings"/>
      </w:rPr>
    </w:lvl>
    <w:lvl w:ilvl="7" w:tentative="0">
      <w:start w:val="1"/>
      <w:numFmt w:val="bullet"/>
      <w:lvlText w:val="¡"/>
      <w:lvlJc w:val="left"/>
      <w:pPr>
        <w:ind w:left="3416" w:hanging="336"/>
      </w:pPr>
      <w:rPr>
        <w:rFonts w:hint="default" w:ascii="Wingdings" w:hAnsi="Wingdings" w:cs="Wingdings"/>
      </w:rPr>
    </w:lvl>
    <w:lvl w:ilvl="8" w:tentative="0">
      <w:start w:val="1"/>
      <w:numFmt w:val="bullet"/>
      <w:lvlText w:val=""/>
      <w:lvlJc w:val="left"/>
      <w:pPr>
        <w:ind w:left="3856" w:hanging="336"/>
      </w:pPr>
      <w:rPr>
        <w:rFonts w:hint="default" w:ascii="Wingdings" w:hAnsi="Wingdings" w:cs="Wingdings"/>
      </w:rPr>
    </w:lvl>
  </w:abstractNum>
  <w:abstractNum w:abstractNumId="3">
    <w:nsid w:val="315C4C09"/>
    <w:multiLevelType w:val="multilevel"/>
    <w:tmpl w:val="315C4C09"/>
    <w:lvl w:ilvl="0" w:tentative="0">
      <w:start w:val="1"/>
      <w:numFmt w:val="bullet"/>
      <w:lvlText w:val=""/>
      <w:lvlJc w:val="left"/>
      <w:pPr>
        <w:ind w:left="336" w:hanging="336"/>
      </w:pPr>
      <w:rPr>
        <w:rFonts w:hint="default" w:ascii="Wingdings" w:hAnsi="Wingdings" w:cs="Wingdings"/>
      </w:rPr>
    </w:lvl>
    <w:lvl w:ilvl="1" w:tentative="0">
      <w:start w:val="1"/>
      <w:numFmt w:val="bullet"/>
      <w:lvlText w:val="¡"/>
      <w:lvlJc w:val="left"/>
      <w:pPr>
        <w:ind w:left="776" w:hanging="336"/>
      </w:pPr>
      <w:rPr>
        <w:rFonts w:hint="default" w:ascii="Wingdings" w:hAnsi="Wingdings" w:cs="Wingdings"/>
      </w:rPr>
    </w:lvl>
    <w:lvl w:ilvl="2" w:tentative="0">
      <w:start w:val="1"/>
      <w:numFmt w:val="bullet"/>
      <w:lvlText w:val=""/>
      <w:lvlJc w:val="left"/>
      <w:pPr>
        <w:ind w:left="1216" w:hanging="336"/>
      </w:pPr>
      <w:rPr>
        <w:rFonts w:hint="default" w:ascii="Wingdings" w:hAnsi="Wingdings" w:cs="Wingdings"/>
      </w:rPr>
    </w:lvl>
    <w:lvl w:ilvl="3" w:tentative="0">
      <w:start w:val="1"/>
      <w:numFmt w:val="bullet"/>
      <w:lvlText w:val=""/>
      <w:lvlJc w:val="left"/>
      <w:pPr>
        <w:ind w:left="1656" w:hanging="336"/>
      </w:pPr>
      <w:rPr>
        <w:rFonts w:hint="default" w:ascii="Wingdings" w:hAnsi="Wingdings" w:cs="Wingdings"/>
      </w:rPr>
    </w:lvl>
    <w:lvl w:ilvl="4" w:tentative="0">
      <w:start w:val="1"/>
      <w:numFmt w:val="bullet"/>
      <w:lvlText w:val="¡"/>
      <w:lvlJc w:val="left"/>
      <w:pPr>
        <w:ind w:left="2096" w:hanging="336"/>
      </w:pPr>
      <w:rPr>
        <w:rFonts w:hint="default" w:ascii="Wingdings" w:hAnsi="Wingdings" w:cs="Wingdings"/>
      </w:rPr>
    </w:lvl>
    <w:lvl w:ilvl="5" w:tentative="0">
      <w:start w:val="1"/>
      <w:numFmt w:val="bullet"/>
      <w:lvlText w:val=""/>
      <w:lvlJc w:val="left"/>
      <w:pPr>
        <w:ind w:left="2536" w:hanging="336"/>
      </w:pPr>
      <w:rPr>
        <w:rFonts w:hint="default" w:ascii="Wingdings" w:hAnsi="Wingdings" w:cs="Wingdings"/>
      </w:rPr>
    </w:lvl>
    <w:lvl w:ilvl="6" w:tentative="0">
      <w:start w:val="1"/>
      <w:numFmt w:val="bullet"/>
      <w:lvlText w:val=""/>
      <w:lvlJc w:val="left"/>
      <w:pPr>
        <w:ind w:left="2976" w:hanging="336"/>
      </w:pPr>
      <w:rPr>
        <w:rFonts w:hint="default" w:ascii="Wingdings" w:hAnsi="Wingdings" w:cs="Wingdings"/>
      </w:rPr>
    </w:lvl>
    <w:lvl w:ilvl="7" w:tentative="0">
      <w:start w:val="1"/>
      <w:numFmt w:val="bullet"/>
      <w:lvlText w:val="¡"/>
      <w:lvlJc w:val="left"/>
      <w:pPr>
        <w:ind w:left="3416" w:hanging="336"/>
      </w:pPr>
      <w:rPr>
        <w:rFonts w:hint="default" w:ascii="Wingdings" w:hAnsi="Wingdings" w:cs="Wingdings"/>
      </w:rPr>
    </w:lvl>
    <w:lvl w:ilvl="8" w:tentative="0">
      <w:start w:val="1"/>
      <w:numFmt w:val="bullet"/>
      <w:lvlText w:val=""/>
      <w:lvlJc w:val="left"/>
      <w:pPr>
        <w:ind w:left="3856" w:hanging="336"/>
      </w:pPr>
      <w:rPr>
        <w:rFonts w:hint="default" w:ascii="Wingdings" w:hAnsi="Wingdings" w:cs="Wingdings"/>
      </w:rPr>
    </w:lvl>
  </w:abstractNum>
  <w:abstractNum w:abstractNumId="4">
    <w:nsid w:val="3E545E56"/>
    <w:multiLevelType w:val="multilevel"/>
    <w:tmpl w:val="3E545E56"/>
    <w:lvl w:ilvl="0" w:tentative="0">
      <w:start w:val="1"/>
      <w:numFmt w:val="bullet"/>
      <w:lvlText w:val=""/>
      <w:lvlJc w:val="left"/>
      <w:pPr>
        <w:ind w:left="336" w:hanging="336"/>
      </w:pPr>
      <w:rPr>
        <w:rFonts w:hint="default" w:ascii="Wingdings" w:hAnsi="Wingdings" w:cs="Wingdings"/>
      </w:rPr>
    </w:lvl>
    <w:lvl w:ilvl="1" w:tentative="0">
      <w:start w:val="1"/>
      <w:numFmt w:val="bullet"/>
      <w:lvlText w:val="¡"/>
      <w:lvlJc w:val="left"/>
      <w:pPr>
        <w:ind w:left="776" w:hanging="336"/>
      </w:pPr>
      <w:rPr>
        <w:rFonts w:hint="default" w:ascii="Wingdings" w:hAnsi="Wingdings" w:cs="Wingdings"/>
      </w:rPr>
    </w:lvl>
    <w:lvl w:ilvl="2" w:tentative="0">
      <w:start w:val="1"/>
      <w:numFmt w:val="bullet"/>
      <w:lvlText w:val=""/>
      <w:lvlJc w:val="left"/>
      <w:pPr>
        <w:ind w:left="1216" w:hanging="336"/>
      </w:pPr>
      <w:rPr>
        <w:rFonts w:hint="default" w:ascii="Wingdings" w:hAnsi="Wingdings" w:cs="Wingdings"/>
      </w:rPr>
    </w:lvl>
    <w:lvl w:ilvl="3" w:tentative="0">
      <w:start w:val="1"/>
      <w:numFmt w:val="bullet"/>
      <w:lvlText w:val=""/>
      <w:lvlJc w:val="left"/>
      <w:pPr>
        <w:ind w:left="1656" w:hanging="336"/>
      </w:pPr>
      <w:rPr>
        <w:rFonts w:hint="default" w:ascii="Wingdings" w:hAnsi="Wingdings" w:cs="Wingdings"/>
      </w:rPr>
    </w:lvl>
    <w:lvl w:ilvl="4" w:tentative="0">
      <w:start w:val="1"/>
      <w:numFmt w:val="bullet"/>
      <w:lvlText w:val="¡"/>
      <w:lvlJc w:val="left"/>
      <w:pPr>
        <w:ind w:left="2096" w:hanging="336"/>
      </w:pPr>
      <w:rPr>
        <w:rFonts w:hint="default" w:ascii="Wingdings" w:hAnsi="Wingdings" w:cs="Wingdings"/>
      </w:rPr>
    </w:lvl>
    <w:lvl w:ilvl="5" w:tentative="0">
      <w:start w:val="1"/>
      <w:numFmt w:val="bullet"/>
      <w:lvlText w:val=""/>
      <w:lvlJc w:val="left"/>
      <w:pPr>
        <w:ind w:left="2536" w:hanging="336"/>
      </w:pPr>
      <w:rPr>
        <w:rFonts w:hint="default" w:ascii="Wingdings" w:hAnsi="Wingdings" w:cs="Wingdings"/>
      </w:rPr>
    </w:lvl>
    <w:lvl w:ilvl="6" w:tentative="0">
      <w:start w:val="1"/>
      <w:numFmt w:val="bullet"/>
      <w:lvlText w:val=""/>
      <w:lvlJc w:val="left"/>
      <w:pPr>
        <w:ind w:left="2976" w:hanging="336"/>
      </w:pPr>
      <w:rPr>
        <w:rFonts w:hint="default" w:ascii="Wingdings" w:hAnsi="Wingdings" w:cs="Wingdings"/>
      </w:rPr>
    </w:lvl>
    <w:lvl w:ilvl="7" w:tentative="0">
      <w:start w:val="1"/>
      <w:numFmt w:val="bullet"/>
      <w:lvlText w:val="¡"/>
      <w:lvlJc w:val="left"/>
      <w:pPr>
        <w:ind w:left="3416" w:hanging="336"/>
      </w:pPr>
      <w:rPr>
        <w:rFonts w:hint="default" w:ascii="Wingdings" w:hAnsi="Wingdings" w:cs="Wingdings"/>
      </w:rPr>
    </w:lvl>
    <w:lvl w:ilvl="8" w:tentative="0">
      <w:start w:val="1"/>
      <w:numFmt w:val="bullet"/>
      <w:lvlText w:val=""/>
      <w:lvlJc w:val="left"/>
      <w:pPr>
        <w:ind w:left="3856" w:hanging="336"/>
      </w:pPr>
      <w:rPr>
        <w:rFonts w:hint="default" w:ascii="Wingdings" w:hAnsi="Wingdings" w:cs="Wingdings"/>
      </w:rPr>
    </w:lvl>
  </w:abstractNum>
  <w:abstractNum w:abstractNumId="5">
    <w:nsid w:val="5DE26AB6"/>
    <w:multiLevelType w:val="multilevel"/>
    <w:tmpl w:val="5DE26AB6"/>
    <w:lvl w:ilvl="0" w:tentative="0">
      <w:start w:val="1"/>
      <w:numFmt w:val="bullet"/>
      <w:lvlText w:val=""/>
      <w:lvlJc w:val="left"/>
      <w:pPr>
        <w:ind w:left="336" w:hanging="336"/>
      </w:pPr>
      <w:rPr>
        <w:rFonts w:hint="default" w:ascii="Wingdings" w:hAnsi="Wingdings" w:cs="Wingdings"/>
      </w:rPr>
    </w:lvl>
    <w:lvl w:ilvl="1" w:tentative="0">
      <w:start w:val="1"/>
      <w:numFmt w:val="bullet"/>
      <w:lvlText w:val="¡"/>
      <w:lvlJc w:val="left"/>
      <w:pPr>
        <w:ind w:left="776" w:hanging="336"/>
      </w:pPr>
      <w:rPr>
        <w:rFonts w:hint="default" w:ascii="Wingdings" w:hAnsi="Wingdings" w:cs="Wingdings"/>
      </w:rPr>
    </w:lvl>
    <w:lvl w:ilvl="2" w:tentative="0">
      <w:start w:val="1"/>
      <w:numFmt w:val="bullet"/>
      <w:lvlText w:val=""/>
      <w:lvlJc w:val="left"/>
      <w:pPr>
        <w:ind w:left="1216" w:hanging="336"/>
      </w:pPr>
      <w:rPr>
        <w:rFonts w:hint="default" w:ascii="Wingdings" w:hAnsi="Wingdings" w:cs="Wingdings"/>
      </w:rPr>
    </w:lvl>
    <w:lvl w:ilvl="3" w:tentative="0">
      <w:start w:val="1"/>
      <w:numFmt w:val="bullet"/>
      <w:lvlText w:val=""/>
      <w:lvlJc w:val="left"/>
      <w:pPr>
        <w:ind w:left="1656" w:hanging="336"/>
      </w:pPr>
      <w:rPr>
        <w:rFonts w:hint="default" w:ascii="Wingdings" w:hAnsi="Wingdings" w:cs="Wingdings"/>
      </w:rPr>
    </w:lvl>
    <w:lvl w:ilvl="4" w:tentative="0">
      <w:start w:val="1"/>
      <w:numFmt w:val="bullet"/>
      <w:lvlText w:val="¡"/>
      <w:lvlJc w:val="left"/>
      <w:pPr>
        <w:ind w:left="2096" w:hanging="336"/>
      </w:pPr>
      <w:rPr>
        <w:rFonts w:hint="default" w:ascii="Wingdings" w:hAnsi="Wingdings" w:cs="Wingdings"/>
      </w:rPr>
    </w:lvl>
    <w:lvl w:ilvl="5" w:tentative="0">
      <w:start w:val="1"/>
      <w:numFmt w:val="bullet"/>
      <w:lvlText w:val=""/>
      <w:lvlJc w:val="left"/>
      <w:pPr>
        <w:ind w:left="2536" w:hanging="336"/>
      </w:pPr>
      <w:rPr>
        <w:rFonts w:hint="default" w:ascii="Wingdings" w:hAnsi="Wingdings" w:cs="Wingdings"/>
      </w:rPr>
    </w:lvl>
    <w:lvl w:ilvl="6" w:tentative="0">
      <w:start w:val="1"/>
      <w:numFmt w:val="bullet"/>
      <w:lvlText w:val=""/>
      <w:lvlJc w:val="left"/>
      <w:pPr>
        <w:ind w:left="2976" w:hanging="336"/>
      </w:pPr>
      <w:rPr>
        <w:rFonts w:hint="default" w:ascii="Wingdings" w:hAnsi="Wingdings" w:cs="Wingdings"/>
      </w:rPr>
    </w:lvl>
    <w:lvl w:ilvl="7" w:tentative="0">
      <w:start w:val="1"/>
      <w:numFmt w:val="bullet"/>
      <w:lvlText w:val="¡"/>
      <w:lvlJc w:val="left"/>
      <w:pPr>
        <w:ind w:left="3416" w:hanging="336"/>
      </w:pPr>
      <w:rPr>
        <w:rFonts w:hint="default" w:ascii="Wingdings" w:hAnsi="Wingdings" w:cs="Wingdings"/>
      </w:rPr>
    </w:lvl>
    <w:lvl w:ilvl="8" w:tentative="0">
      <w:start w:val="1"/>
      <w:numFmt w:val="bullet"/>
      <w:lvlText w:val=""/>
      <w:lvlJc w:val="left"/>
      <w:pPr>
        <w:ind w:left="3856" w:hanging="336"/>
      </w:pPr>
      <w:rPr>
        <w:rFonts w:hint="default" w:ascii="Wingdings" w:hAnsi="Wingdings" w:cs="Wingdings"/>
      </w:rPr>
    </w:lvl>
  </w:abstractNum>
  <w:abstractNum w:abstractNumId="6">
    <w:nsid w:val="7F292E08"/>
    <w:multiLevelType w:val="multilevel"/>
    <w:tmpl w:val="7F292E08"/>
    <w:lvl w:ilvl="0" w:tentative="0">
      <w:start w:val="2"/>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HorizontalSpacing w:val="220"/>
  <w:drawingGridVerticalSpacing w:val="387"/>
  <w:displayHorizontalDrawingGridEvery w:val="0"/>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A24D9F"/>
    <w:rsid w:val="000B62CA"/>
    <w:rsid w:val="000E701D"/>
    <w:rsid w:val="00145375"/>
    <w:rsid w:val="002A53AA"/>
    <w:rsid w:val="002E3B59"/>
    <w:rsid w:val="004245CF"/>
    <w:rsid w:val="005C35DE"/>
    <w:rsid w:val="00626AA2"/>
    <w:rsid w:val="0068574D"/>
    <w:rsid w:val="006E696F"/>
    <w:rsid w:val="0071681D"/>
    <w:rsid w:val="00736A40"/>
    <w:rsid w:val="007C7A70"/>
    <w:rsid w:val="00890FE1"/>
    <w:rsid w:val="008961EB"/>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945AC49"/>
    <w:rsid w:val="2A4254F9"/>
    <w:rsid w:val="2D1F32F4"/>
    <w:rsid w:val="323B4D81"/>
    <w:rsid w:val="33C6B2DA"/>
    <w:rsid w:val="34B70380"/>
    <w:rsid w:val="3AE174A3"/>
    <w:rsid w:val="43446334"/>
    <w:rsid w:val="44A84E71"/>
    <w:rsid w:val="477DCE1E"/>
    <w:rsid w:val="4B7E995B"/>
    <w:rsid w:val="573E1E21"/>
    <w:rsid w:val="5B487E91"/>
    <w:rsid w:val="5CF9550F"/>
    <w:rsid w:val="5EFEBDE8"/>
    <w:rsid w:val="68CA2609"/>
    <w:rsid w:val="68CC1AED"/>
    <w:rsid w:val="69BB0F42"/>
    <w:rsid w:val="6A637494"/>
    <w:rsid w:val="6BCF62E6"/>
    <w:rsid w:val="6CD3A16D"/>
    <w:rsid w:val="6D535020"/>
    <w:rsid w:val="6E5F49A6"/>
    <w:rsid w:val="6F93ADF2"/>
    <w:rsid w:val="6FFF37D2"/>
    <w:rsid w:val="70DE2EF1"/>
    <w:rsid w:val="71ABD848"/>
    <w:rsid w:val="75773D67"/>
    <w:rsid w:val="76E2ACA0"/>
    <w:rsid w:val="7C5F4108"/>
    <w:rsid w:val="7CFD7C53"/>
    <w:rsid w:val="7ED544A7"/>
    <w:rsid w:val="7F79C282"/>
    <w:rsid w:val="7F7B6CAE"/>
    <w:rsid w:val="7FBDB22A"/>
    <w:rsid w:val="7FBF6DD0"/>
    <w:rsid w:val="7FCD17FE"/>
    <w:rsid w:val="7FD7E9A0"/>
    <w:rsid w:val="7FDDCA89"/>
    <w:rsid w:val="7FE9FBB2"/>
    <w:rsid w:val="8FFFA67E"/>
    <w:rsid w:val="9E2E8496"/>
    <w:rsid w:val="A97F623E"/>
    <w:rsid w:val="AFBF8780"/>
    <w:rsid w:val="BEEFCB4B"/>
    <w:rsid w:val="BFE6F841"/>
    <w:rsid w:val="BFFBDBCA"/>
    <w:rsid w:val="D5DE8897"/>
    <w:rsid w:val="E7FE3684"/>
    <w:rsid w:val="E95E2A0D"/>
    <w:rsid w:val="E99F7B43"/>
    <w:rsid w:val="ED995AD5"/>
    <w:rsid w:val="EFFF70E4"/>
    <w:rsid w:val="F7EEC240"/>
    <w:rsid w:val="F7EF17E4"/>
    <w:rsid w:val="FBF75102"/>
    <w:rsid w:val="FCFD2C4B"/>
    <w:rsid w:val="FDDC5620"/>
    <w:rsid w:val="FDEA700A"/>
    <w:rsid w:val="FEDA7736"/>
    <w:rsid w:val="FF5FFA67"/>
    <w:rsid w:val="FFBFCE42"/>
    <w:rsid w:val="FFD70C97"/>
    <w:rsid w:val="FFD7BBC2"/>
    <w:rsid w:val="FFFF40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微软雅黑"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60" w:after="60"/>
      <w:jc w:val="both"/>
    </w:pPr>
    <w:rPr>
      <w:rFonts w:ascii="Arial" w:hAnsi="Arial" w:eastAsia="微软雅黑" w:cs="Arial"/>
      <w:color w:val="333333"/>
      <w:kern w:val="2"/>
      <w:sz w:val="22"/>
      <w:szCs w:val="24"/>
      <w:lang w:val="en-US" w:eastAsia="zh-CN" w:bidi="ar-SA"/>
    </w:rPr>
  </w:style>
  <w:style w:type="paragraph" w:styleId="2">
    <w:name w:val="heading 1"/>
    <w:basedOn w:val="1"/>
    <w:next w:val="1"/>
    <w:qFormat/>
    <w:uiPriority w:val="0"/>
    <w:pPr>
      <w:keepNext/>
      <w:keepLines/>
      <w:outlineLvl w:val="0"/>
    </w:pPr>
    <w:rPr>
      <w:b/>
      <w:kern w:val="44"/>
      <w:sz w:val="36"/>
    </w:rPr>
  </w:style>
  <w:style w:type="paragraph" w:styleId="3">
    <w:name w:val="heading 2"/>
    <w:basedOn w:val="1"/>
    <w:next w:val="1"/>
    <w:qFormat/>
    <w:uiPriority w:val="0"/>
    <w:pPr>
      <w:keepNext/>
      <w:keepLines/>
      <w:outlineLvl w:val="1"/>
    </w:pPr>
    <w:rPr>
      <w:b/>
      <w:sz w:val="32"/>
    </w:rPr>
  </w:style>
  <w:style w:type="paragraph" w:styleId="4">
    <w:name w:val="heading 3"/>
    <w:basedOn w:val="1"/>
    <w:next w:val="1"/>
    <w:qFormat/>
    <w:uiPriority w:val="0"/>
    <w:pPr>
      <w:keepNext/>
      <w:keepLines/>
      <w:outlineLvl w:val="2"/>
    </w:pPr>
    <w:rPr>
      <w:b/>
      <w:sz w:val="28"/>
    </w:rPr>
  </w:style>
  <w:style w:type="paragraph" w:styleId="5">
    <w:name w:val="heading 4"/>
    <w:basedOn w:val="1"/>
    <w:next w:val="1"/>
    <w:qFormat/>
    <w:uiPriority w:val="0"/>
    <w:pPr>
      <w:keepNext/>
      <w:keepLines/>
      <w:outlineLvl w:val="3"/>
    </w:pPr>
    <w:rPr>
      <w:b/>
      <w:sz w:val="24"/>
    </w:rPr>
  </w:style>
  <w:style w:type="paragraph" w:styleId="6">
    <w:name w:val="heading 5"/>
    <w:basedOn w:val="1"/>
    <w:next w:val="1"/>
    <w:qFormat/>
    <w:uiPriority w:val="0"/>
    <w:pPr>
      <w:keepNext/>
      <w:keepLines/>
      <w:spacing w:line="480" w:lineRule="auto"/>
      <w:outlineLvl w:val="4"/>
    </w:pPr>
    <w:rPr>
      <w:b/>
    </w:rPr>
  </w:style>
  <w:style w:type="paragraph" w:styleId="7">
    <w:name w:val="heading 6"/>
    <w:basedOn w:val="1"/>
    <w:next w:val="1"/>
    <w:qFormat/>
    <w:uiPriority w:val="0"/>
    <w:pPr>
      <w:keepNext/>
      <w:keepLines/>
      <w:spacing w:line="480" w:lineRule="auto"/>
      <w:outlineLvl w:val="5"/>
    </w:pPr>
    <w:rPr>
      <w:b/>
    </w:rPr>
  </w:style>
  <w:style w:type="paragraph" w:styleId="8">
    <w:name w:val="heading 7"/>
    <w:basedOn w:val="1"/>
    <w:next w:val="1"/>
    <w:unhideWhenUsed/>
    <w:qFormat/>
    <w:uiPriority w:val="0"/>
    <w:pPr>
      <w:keepNext/>
      <w:keepLines/>
      <w:spacing w:line="480" w:lineRule="auto"/>
      <w:outlineLvl w:val="6"/>
    </w:pPr>
    <w:rPr>
      <w:b/>
    </w:rPr>
  </w:style>
  <w:style w:type="paragraph" w:styleId="9">
    <w:name w:val="heading 8"/>
    <w:basedOn w:val="1"/>
    <w:next w:val="1"/>
    <w:unhideWhenUsed/>
    <w:qFormat/>
    <w:uiPriority w:val="0"/>
    <w:pPr>
      <w:keepNext/>
      <w:keepLines/>
      <w:spacing w:line="480" w:lineRule="auto"/>
      <w:outlineLvl w:val="7"/>
    </w:pPr>
    <w:rPr>
      <w:b/>
    </w:rPr>
  </w:style>
  <w:style w:type="paragraph" w:styleId="10">
    <w:name w:val="heading 9"/>
    <w:basedOn w:val="1"/>
    <w:next w:val="1"/>
    <w:unhideWhenUsed/>
    <w:qFormat/>
    <w:uiPriority w:val="0"/>
    <w:pPr>
      <w:keepNext/>
      <w:keepLines/>
      <w:spacing w:line="480" w:lineRule="auto"/>
      <w:outlineLvl w:val="8"/>
    </w:pPr>
    <w:rPr>
      <w:b/>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toc 8"/>
    <w:basedOn w:val="1"/>
    <w:next w:val="1"/>
    <w:autoRedefine/>
    <w:uiPriority w:val="99"/>
    <w:pPr>
      <w:ind w:left="2940" w:leftChars="1400"/>
    </w:pPr>
  </w:style>
  <w:style w:type="paragraph" w:styleId="12">
    <w:name w:val="footer"/>
    <w:basedOn w:val="1"/>
    <w:uiPriority w:val="0"/>
    <w:pPr>
      <w:tabs>
        <w:tab w:val="center" w:pos="4153"/>
        <w:tab w:val="right" w:pos="8306"/>
      </w:tabs>
      <w:snapToGrid w:val="0"/>
      <w:jc w:val="center"/>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3"/>
    <w:qFormat/>
    <w:uiPriority w:val="0"/>
    <w:pPr>
      <w:jc w:val="center"/>
      <w:outlineLvl w:val="1"/>
    </w:pPr>
    <w:rPr>
      <w:rFonts w:cstheme="minorBidi"/>
      <w:b/>
      <w:bCs/>
      <w:kern w:val="28"/>
      <w:sz w:val="44"/>
      <w:szCs w:val="32"/>
    </w:rPr>
  </w:style>
  <w:style w:type="paragraph" w:styleId="15">
    <w:name w:val="Title"/>
    <w:basedOn w:val="1"/>
    <w:next w:val="1"/>
    <w:link w:val="21"/>
    <w:qFormat/>
    <w:uiPriority w:val="0"/>
    <w:pPr>
      <w:jc w:val="center"/>
      <w:outlineLvl w:val="0"/>
    </w:pPr>
    <w:rPr>
      <w:rFonts w:cstheme="majorBidi"/>
      <w:b/>
      <w:bCs/>
      <w:sz w:val="48"/>
      <w:szCs w:val="32"/>
    </w:rPr>
  </w:style>
  <w:style w:type="table" w:styleId="17">
    <w:name w:val="Table Grid"/>
    <w:basedOn w:val="16"/>
    <w:uiPriority w:val="0"/>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9">
    <w:name w:val="Hyperlink"/>
    <w:uiPriority w:val="0"/>
    <w:rPr>
      <w:color w:val="1E6FFF"/>
      <w:u w:val="single"/>
    </w:rPr>
  </w:style>
  <w:style w:type="character" w:customStyle="1" w:styleId="20">
    <w:name w:val="melo-codeblock-Base-theme-char"/>
    <w:uiPriority w:val="99"/>
    <w:rPr>
      <w:rFonts w:ascii="Monaco" w:hAnsi="Monaco" w:eastAsia="Monaco" w:cs="Monaco"/>
      <w:color w:val="000000"/>
      <w:sz w:val="21"/>
    </w:rPr>
  </w:style>
  <w:style w:type="character" w:customStyle="1" w:styleId="21">
    <w:name w:val="标题 字符"/>
    <w:basedOn w:val="18"/>
    <w:link w:val="15"/>
    <w:uiPriority w:val="0"/>
    <w:rPr>
      <w:rFonts w:ascii="Arial" w:hAnsi="Arial" w:eastAsia="微软雅黑" w:cstheme="majorBidi"/>
      <w:b/>
      <w:bCs/>
      <w:kern w:val="2"/>
      <w:sz w:val="48"/>
      <w:szCs w:val="32"/>
    </w:rPr>
  </w:style>
  <w:style w:type="paragraph" w:customStyle="1" w:styleId="22">
    <w:name w:val="melo-codeblock-Base-theme-para"/>
    <w:uiPriority w:val="99"/>
    <w:pPr>
      <w:snapToGrid w:val="0"/>
      <w:spacing w:line="360" w:lineRule="auto"/>
    </w:pPr>
    <w:rPr>
      <w:rFonts w:ascii="Monaco" w:hAnsi="Monaco" w:eastAsia="Monaco" w:cs="Monaco"/>
      <w:color w:val="000000"/>
      <w:sz w:val="21"/>
      <w:lang w:val="en-US" w:eastAsia="zh-CN" w:bidi="ar-SA"/>
    </w:rPr>
  </w:style>
  <w:style w:type="character" w:customStyle="1" w:styleId="23">
    <w:name w:val="副标题 字符"/>
    <w:basedOn w:val="18"/>
    <w:link w:val="14"/>
    <w:uiPriority w:val="0"/>
    <w:rPr>
      <w:rFonts w:ascii="Arial" w:hAnsi="Arial" w:eastAsia="微软雅黑" w:cstheme="minorBidi"/>
      <w:b/>
      <w:bCs/>
      <w:kern w:val="28"/>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7119</Words>
  <Characters>592</Characters>
  <Lines>4</Lines>
  <Paragraphs>15</Paragraphs>
  <TotalTime>60</TotalTime>
  <ScaleCrop>false</ScaleCrop>
  <LinksUpToDate>false</LinksUpToDate>
  <CharactersWithSpaces>7696</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2025-03-06T07:35:00Z</dcterms:created>
  <dc:creator>Data</dc:creator>
  <cp:lastModifiedBy>牙不痛的牙痛</cp:lastModifiedBy>
  <dcterms:modified xsi:type="dcterms:W3CDTF">2025-05-27T13:45:13Z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FAC5D9A6762E1E6FAA2430687F8605F6_42</vt:lpwstr>
  </property>
</Properties>
</file>